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Resource Table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4"/>
              </w:rPr>
              <w:t>VCPU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4"/>
              </w:rPr>
              <w:t>MEMORY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4"/>
              </w:rPr>
              <w:t>UTIL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4"/>
              </w:rPr>
              <w:t>NORM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4"/>
              </w:rPr>
              <w:t>UPTIME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primary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32G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7.0%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6.9%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DR-PRD02-CBSAPP01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64G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DR-PRD02-CBSDB01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164G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3.9%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3.9%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DR-PRD02-CBSDB02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bound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100G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DR-PRD02-CBSGW01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DR-PRD02-CBSRPT01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bound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32G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DR-PRD02-CIFTPDB01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64G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5.0%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5.0%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DR-PRD02-CMSAPP01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32G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DR-PRD02-CMSAPP02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32G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DR-PRD02-CMSAPP03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32G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0.3%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DR-PRD02-CMSDB01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100G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5.0%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5.0%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DR-PRD02-CMSDB02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active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48G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5.2%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5.1%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20"/>
              </w:rPr>
              <w:t>45d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