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to Growth Infrastructure</w:t>
        <w:br w:type="textWrapping"/>
        <w:t xml:space="preserve">—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Skip the guesswork and plug straight into a proven system. Veblen builds the strategy, the content, and the campaigns from day one. Every engagement starts with a clear plan and ends with measurable results.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That Commands Attention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–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scroll-stopping social content to full-scale video production with VFX and 3D motion graphics, we produce assets that make your brand impossible to ignore. Content built to perform, not just look good.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Advertising That Pays for Itself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Google Ads, Meta campaigns, SEO, and retargeting funnels built to convert browsers into buyers. We've delivered up to 30x ROAS because every dollar is tracked, tested, and optimised weekly.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and Systems That Scale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CRM setup, workflow automation, and data tracking that connect every part of your marketing engine. We've saved clients hundreds of thousands in wages by replacing manual chaos with intelligent systems.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