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9D934"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DOC-006 – Architecture Decision Log</w:t>
      </w:r>
    </w:p>
    <w:p w14:paraId="002E7371" w14:textId="77777777" w:rsidR="00F04BB0" w:rsidRPr="00082F59" w:rsidRDefault="00F04BB0" w:rsidP="00F04BB0">
      <w:pPr>
        <w:rPr>
          <w:rFonts w:ascii="Times New Roman" w:hAnsi="Times New Roman" w:cs="Times New Roman"/>
        </w:rPr>
      </w:pPr>
      <w:r w:rsidRPr="00082F59">
        <w:rPr>
          <w:rFonts w:ascii="Times New Roman" w:hAnsi="Times New Roman" w:cs="Times New Roman"/>
          <w:b/>
          <w:bCs/>
        </w:rPr>
        <w:t>Document ID:</w:t>
      </w:r>
      <w:r w:rsidRPr="00082F59">
        <w:rPr>
          <w:rFonts w:ascii="Times New Roman" w:hAnsi="Times New Roman" w:cs="Times New Roman"/>
        </w:rPr>
        <w:t xml:space="preserve"> DOC-006</w:t>
      </w:r>
      <w:r w:rsidRPr="00082F59">
        <w:rPr>
          <w:rFonts w:ascii="Times New Roman" w:hAnsi="Times New Roman" w:cs="Times New Roman"/>
        </w:rPr>
        <w:br/>
      </w:r>
      <w:r w:rsidRPr="00082F59">
        <w:rPr>
          <w:rFonts w:ascii="Times New Roman" w:hAnsi="Times New Roman" w:cs="Times New Roman"/>
          <w:b/>
          <w:bCs/>
        </w:rPr>
        <w:t>Project:</w:t>
      </w:r>
      <w:r w:rsidRPr="00082F59">
        <w:rPr>
          <w:rFonts w:ascii="Times New Roman" w:hAnsi="Times New Roman" w:cs="Times New Roman"/>
        </w:rPr>
        <w:t xml:space="preserve"> Construction Analytics Solution</w:t>
      </w:r>
      <w:r w:rsidRPr="00082F59">
        <w:rPr>
          <w:rFonts w:ascii="Times New Roman" w:hAnsi="Times New Roman" w:cs="Times New Roman"/>
        </w:rPr>
        <w:br/>
      </w:r>
      <w:r w:rsidRPr="00082F59">
        <w:rPr>
          <w:rFonts w:ascii="Times New Roman" w:hAnsi="Times New Roman" w:cs="Times New Roman"/>
          <w:b/>
          <w:bCs/>
        </w:rPr>
        <w:t>Version:</w:t>
      </w:r>
      <w:r w:rsidRPr="00082F59">
        <w:rPr>
          <w:rFonts w:ascii="Times New Roman" w:hAnsi="Times New Roman" w:cs="Times New Roman"/>
        </w:rPr>
        <w:t xml:space="preserve"> 0.2</w:t>
      </w:r>
      <w:r w:rsidRPr="00082F59">
        <w:rPr>
          <w:rFonts w:ascii="Times New Roman" w:hAnsi="Times New Roman" w:cs="Times New Roman"/>
        </w:rPr>
        <w:br/>
      </w:r>
      <w:r w:rsidRPr="00082F59">
        <w:rPr>
          <w:rFonts w:ascii="Times New Roman" w:hAnsi="Times New Roman" w:cs="Times New Roman"/>
          <w:b/>
          <w:bCs/>
        </w:rPr>
        <w:t>Status:</w:t>
      </w:r>
      <w:r w:rsidRPr="00082F59">
        <w:rPr>
          <w:rFonts w:ascii="Times New Roman" w:hAnsi="Times New Roman" w:cs="Times New Roman"/>
        </w:rPr>
        <w:t xml:space="preserve"> Draft</w:t>
      </w:r>
      <w:r w:rsidRPr="00082F59">
        <w:rPr>
          <w:rFonts w:ascii="Times New Roman" w:hAnsi="Times New Roman" w:cs="Times New Roman"/>
        </w:rPr>
        <w:br/>
      </w:r>
      <w:r w:rsidRPr="00082F59">
        <w:rPr>
          <w:rFonts w:ascii="Times New Roman" w:hAnsi="Times New Roman" w:cs="Times New Roman"/>
          <w:b/>
          <w:bCs/>
        </w:rPr>
        <w:t>Author:</w:t>
      </w:r>
      <w:r w:rsidRPr="00082F59">
        <w:rPr>
          <w:rFonts w:ascii="Times New Roman" w:hAnsi="Times New Roman" w:cs="Times New Roman"/>
        </w:rPr>
        <w:t xml:space="preserve"> Mark Vecchione</w:t>
      </w:r>
      <w:r w:rsidRPr="00082F59">
        <w:rPr>
          <w:rFonts w:ascii="Times New Roman" w:hAnsi="Times New Roman" w:cs="Times New Roman"/>
        </w:rPr>
        <w:br/>
      </w:r>
      <w:r w:rsidRPr="00082F59">
        <w:rPr>
          <w:rFonts w:ascii="Times New Roman" w:hAnsi="Times New Roman" w:cs="Times New Roman"/>
          <w:b/>
          <w:bCs/>
        </w:rPr>
        <w:t>Last Updated:</w:t>
      </w:r>
      <w:r w:rsidRPr="00082F59">
        <w:rPr>
          <w:rFonts w:ascii="Times New Roman" w:hAnsi="Times New Roman" w:cs="Times New Roman"/>
        </w:rPr>
        <w:t xml:space="preserve"> July 2026</w:t>
      </w:r>
    </w:p>
    <w:p w14:paraId="149B70E3"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1. Purpose</w:t>
      </w:r>
    </w:p>
    <w:p w14:paraId="2A467197"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This document records significant architectural decisions made during the design and development of the Construction Analytics Solution.</w:t>
      </w:r>
    </w:p>
    <w:p w14:paraId="6B807192"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Each decision documents the rationale behind the chosen approach and provides traceability between business discovery, solution design, and implementation.</w:t>
      </w:r>
    </w:p>
    <w:p w14:paraId="3991D78A"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The purpose of maintaining an Architecture Decision Log is to ensure that important design decisions remain understandable throughout the lifecycle of the project.</w:t>
      </w:r>
    </w:p>
    <w:p w14:paraId="37370CAF"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2. Decision Status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5027"/>
      </w:tblGrid>
      <w:tr w:rsidR="00F04BB0" w:rsidRPr="00082F59" w14:paraId="4F85DBC0" w14:textId="77777777">
        <w:trPr>
          <w:tblHeader/>
          <w:tblCellSpacing w:w="15" w:type="dxa"/>
        </w:trPr>
        <w:tc>
          <w:tcPr>
            <w:tcW w:w="0" w:type="auto"/>
            <w:vAlign w:val="center"/>
            <w:hideMark/>
          </w:tcPr>
          <w:p w14:paraId="55EE655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Status</w:t>
            </w:r>
          </w:p>
        </w:tc>
        <w:tc>
          <w:tcPr>
            <w:tcW w:w="0" w:type="auto"/>
            <w:vAlign w:val="center"/>
            <w:hideMark/>
          </w:tcPr>
          <w:p w14:paraId="35B3D8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Description</w:t>
            </w:r>
          </w:p>
        </w:tc>
      </w:tr>
      <w:tr w:rsidR="00F04BB0" w:rsidRPr="00082F59" w14:paraId="436FECAD" w14:textId="77777777">
        <w:trPr>
          <w:tblCellSpacing w:w="15" w:type="dxa"/>
        </w:trPr>
        <w:tc>
          <w:tcPr>
            <w:tcW w:w="0" w:type="auto"/>
            <w:vAlign w:val="center"/>
            <w:hideMark/>
          </w:tcPr>
          <w:p w14:paraId="5D4C3D8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Proposed</w:t>
            </w:r>
          </w:p>
        </w:tc>
        <w:tc>
          <w:tcPr>
            <w:tcW w:w="0" w:type="auto"/>
            <w:vAlign w:val="center"/>
            <w:hideMark/>
          </w:tcPr>
          <w:p w14:paraId="50E02EC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Under discussion and not yet finalized.</w:t>
            </w:r>
          </w:p>
        </w:tc>
      </w:tr>
      <w:tr w:rsidR="00F04BB0" w:rsidRPr="00082F59" w14:paraId="7839FD2D" w14:textId="77777777">
        <w:trPr>
          <w:tblCellSpacing w:w="15" w:type="dxa"/>
        </w:trPr>
        <w:tc>
          <w:tcPr>
            <w:tcW w:w="0" w:type="auto"/>
            <w:vAlign w:val="center"/>
            <w:hideMark/>
          </w:tcPr>
          <w:p w14:paraId="37D774E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Approved</w:t>
            </w:r>
          </w:p>
        </w:tc>
        <w:tc>
          <w:tcPr>
            <w:tcW w:w="0" w:type="auto"/>
            <w:vAlign w:val="center"/>
            <w:hideMark/>
          </w:tcPr>
          <w:p w14:paraId="5FAC836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Accepted and incorporated into the solution design.</w:t>
            </w:r>
          </w:p>
        </w:tc>
      </w:tr>
      <w:tr w:rsidR="00F04BB0" w:rsidRPr="00082F59" w14:paraId="4DF91B28" w14:textId="77777777">
        <w:trPr>
          <w:tblCellSpacing w:w="15" w:type="dxa"/>
        </w:trPr>
        <w:tc>
          <w:tcPr>
            <w:tcW w:w="0" w:type="auto"/>
            <w:vAlign w:val="center"/>
            <w:hideMark/>
          </w:tcPr>
          <w:p w14:paraId="63B2A3B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Superseded</w:t>
            </w:r>
          </w:p>
        </w:tc>
        <w:tc>
          <w:tcPr>
            <w:tcW w:w="0" w:type="auto"/>
            <w:vAlign w:val="center"/>
            <w:hideMark/>
          </w:tcPr>
          <w:p w14:paraId="5740047D"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Replaced by a newer architectural decision.</w:t>
            </w:r>
          </w:p>
        </w:tc>
      </w:tr>
      <w:tr w:rsidR="00F04BB0" w:rsidRPr="00082F59" w14:paraId="1F434A50" w14:textId="77777777">
        <w:trPr>
          <w:tblCellSpacing w:w="15" w:type="dxa"/>
        </w:trPr>
        <w:tc>
          <w:tcPr>
            <w:tcW w:w="0" w:type="auto"/>
            <w:vAlign w:val="center"/>
            <w:hideMark/>
          </w:tcPr>
          <w:p w14:paraId="6893AF0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Deprecated</w:t>
            </w:r>
          </w:p>
        </w:tc>
        <w:tc>
          <w:tcPr>
            <w:tcW w:w="0" w:type="auto"/>
            <w:vAlign w:val="center"/>
            <w:hideMark/>
          </w:tcPr>
          <w:p w14:paraId="04ADEBFF"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No longer recommended for future development.</w:t>
            </w:r>
          </w:p>
        </w:tc>
      </w:tr>
    </w:tbl>
    <w:p w14:paraId="10ACFBE6"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3. Architecture Decisions</w:t>
      </w:r>
    </w:p>
    <w:p w14:paraId="5748547C" w14:textId="2742BC5F" w:rsidR="00F04BB0" w:rsidRPr="00082F59" w:rsidRDefault="00F04BB0" w:rsidP="00F04BB0">
      <w:pPr>
        <w:rPr>
          <w:rFonts w:ascii="Times New Roman" w:hAnsi="Times New Roman" w:cs="Times New Roman"/>
        </w:rPr>
      </w:pPr>
    </w:p>
    <w:p w14:paraId="31760EC1" w14:textId="7D3DF1BB"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DEC-001</w:t>
      </w:r>
      <w:r w:rsidR="00082F59">
        <w:rPr>
          <w:rFonts w:ascii="Times New Roman" w:hAnsi="Times New Roman" w:cs="Times New Roman"/>
        </w:rPr>
        <w:t xml:space="preserve"> - </w:t>
      </w:r>
      <w:r w:rsidRPr="00082F59">
        <w:rPr>
          <w:rFonts w:ascii="Times New Roman" w:hAnsi="Times New Roman" w:cs="Times New Roman"/>
        </w:rPr>
        <w:t>Analytics-First Solution Design</w:t>
      </w:r>
    </w:p>
    <w:p w14:paraId="1955D756" w14:textId="512DF9CF"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 </w:t>
      </w:r>
      <w:r w:rsidRPr="00082F59">
        <w:rPr>
          <w:rFonts w:ascii="Times New Roman" w:hAnsi="Times New Roman" w:cs="Times New Roman"/>
        </w:rPr>
        <w:t>Approved</w:t>
      </w:r>
    </w:p>
    <w:p w14:paraId="70200BC0" w14:textId="26E8D593"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Architecture</w:t>
      </w:r>
    </w:p>
    <w:p w14:paraId="10B5EF7B" w14:textId="052F93F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will be designed as an analytics platform rather than a transactional ERP system.</w:t>
      </w:r>
    </w:p>
    <w:p w14:paraId="55C856EB" w14:textId="764208E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The primary objective is to provide actionable business intelligence using operational and financial data rather than replicate accounting software functionality.</w:t>
      </w:r>
    </w:p>
    <w:p w14:paraId="01BB6086"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C729E6B"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Simplifies database design </w:t>
      </w:r>
    </w:p>
    <w:p w14:paraId="24342905"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Focuses development on reporting and analytics </w:t>
      </w:r>
    </w:p>
    <w:p w14:paraId="00166D7E"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Enables Power BI and Tableau to consume a common analytics layer </w:t>
      </w:r>
    </w:p>
    <w:p w14:paraId="2C6B8DBB" w14:textId="7E1E6D0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DEC-002</w:t>
      </w:r>
      <w:r w:rsidR="00082F59">
        <w:rPr>
          <w:rFonts w:ascii="Times New Roman" w:hAnsi="Times New Roman" w:cs="Times New Roman"/>
        </w:rPr>
        <w:t xml:space="preserve"> - </w:t>
      </w:r>
      <w:r w:rsidRPr="00082F59">
        <w:rPr>
          <w:rFonts w:ascii="Times New Roman" w:hAnsi="Times New Roman" w:cs="Times New Roman"/>
        </w:rPr>
        <w:t>Business Discovery Drives Solution Design</w:t>
      </w:r>
    </w:p>
    <w:p w14:paraId="7F897092" w14:textId="7D05790D"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E988B15" w14:textId="3A6AD75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Requirements</w:t>
      </w:r>
    </w:p>
    <w:p w14:paraId="574C88DD" w14:textId="6623C453"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Decision</w:t>
      </w:r>
      <w:r w:rsidR="00082F59">
        <w:rPr>
          <w:rFonts w:ascii="Times New Roman" w:hAnsi="Times New Roman" w:cs="Times New Roman"/>
          <w:b/>
          <w:bCs/>
        </w:rPr>
        <w:t xml:space="preserve">: </w:t>
      </w:r>
      <w:r w:rsidRPr="00082F59">
        <w:rPr>
          <w:rFonts w:ascii="Times New Roman" w:hAnsi="Times New Roman" w:cs="Times New Roman"/>
        </w:rPr>
        <w:t>Business discovery workshops will drive database design, KPI development, SQL views, and dashboard development.</w:t>
      </w:r>
    </w:p>
    <w:p w14:paraId="50A92215" w14:textId="4F28EB83"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Understanding how users make decisions results in a solution that supports business processes rather than existing software workflows.</w:t>
      </w:r>
    </w:p>
    <w:p w14:paraId="038D580C"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607784B9"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Business questions become the foundation of the solution </w:t>
      </w:r>
    </w:p>
    <w:p w14:paraId="642B882B"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Requirements remain traceable throughout development </w:t>
      </w:r>
    </w:p>
    <w:p w14:paraId="7513C717"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Reduces redesign during implementation </w:t>
      </w:r>
    </w:p>
    <w:p w14:paraId="24FAB6B6" w14:textId="793C9D9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DEC-003</w:t>
      </w:r>
      <w:r w:rsidR="00082F59">
        <w:rPr>
          <w:rFonts w:ascii="Times New Roman" w:hAnsi="Times New Roman" w:cs="Times New Roman"/>
        </w:rPr>
        <w:t xml:space="preserve"> - </w:t>
      </w:r>
      <w:r w:rsidRPr="00082F59">
        <w:rPr>
          <w:rFonts w:ascii="Times New Roman" w:hAnsi="Times New Roman" w:cs="Times New Roman"/>
        </w:rPr>
        <w:t>Separate Operational Data from Accounting Data</w:t>
      </w:r>
    </w:p>
    <w:p w14:paraId="581A173C" w14:textId="1ABABBB8"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BF360AA" w14:textId="4FF50EE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Architecture</w:t>
      </w:r>
    </w:p>
    <w:p w14:paraId="1BB0DFB8" w14:textId="0F31A75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Operational field information shall be modeled independently from posted accounting transactions.</w:t>
      </w:r>
    </w:p>
    <w:p w14:paraId="267E2204" w14:textId="1B79063F"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Field information is available throughout the workday, while accounting information is finalized after payroll, equipment, and financial processing.</w:t>
      </w:r>
    </w:p>
    <w:p w14:paraId="4FEBB1B8"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Separating the two enables same-day operational analytics.</w:t>
      </w:r>
    </w:p>
    <w:p w14:paraId="200DB7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4945E3FF"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Supports near real-time reporting </w:t>
      </w:r>
    </w:p>
    <w:p w14:paraId="19488B73"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Improves operational decision-making </w:t>
      </w:r>
    </w:p>
    <w:p w14:paraId="0F1A7E24"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Enables Project Managers to monitor jobs before accounting close </w:t>
      </w:r>
    </w:p>
    <w:p w14:paraId="1516D2FF" w14:textId="0067B8AC"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DEC-004</w:t>
      </w:r>
      <w:r w:rsidR="00082F59">
        <w:rPr>
          <w:rFonts w:ascii="Times New Roman" w:hAnsi="Times New Roman" w:cs="Times New Roman"/>
        </w:rPr>
        <w:t xml:space="preserve"> - </w:t>
      </w:r>
      <w:r w:rsidRPr="00082F59">
        <w:rPr>
          <w:rFonts w:ascii="Times New Roman" w:hAnsi="Times New Roman" w:cs="Times New Roman"/>
        </w:rPr>
        <w:t>Business Logic Centralized in SQL</w:t>
      </w:r>
    </w:p>
    <w:p w14:paraId="1FF39D36" w14:textId="0314925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1E8490A6" w14:textId="46FB66BD"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Analytics Architecture</w:t>
      </w:r>
    </w:p>
    <w:p w14:paraId="51A62EB4" w14:textId="67FF39C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Business calculations shall be implemented within SQL reporting views rather than duplicated across Power BI and Tableau.</w:t>
      </w:r>
    </w:p>
    <w:p w14:paraId="024C0BB5" w14:textId="56D2BA8E"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Maintaining calculations in a single location improves consistency and reduces maintenance.</w:t>
      </w:r>
    </w:p>
    <w:p w14:paraId="3A69E21D"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B1457B2"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Single source of truth </w:t>
      </w:r>
    </w:p>
    <w:p w14:paraId="2674F406"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Consistent KPI calculations </w:t>
      </w:r>
    </w:p>
    <w:p w14:paraId="6FC25209"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Simplified dashboard development </w:t>
      </w:r>
    </w:p>
    <w:p w14:paraId="3528E527" w14:textId="4BFAA27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DEC-005</w:t>
      </w:r>
      <w:r w:rsidR="00082F59">
        <w:rPr>
          <w:rFonts w:ascii="Times New Roman" w:hAnsi="Times New Roman" w:cs="Times New Roman"/>
        </w:rPr>
        <w:t xml:space="preserve"> - </w:t>
      </w:r>
      <w:r w:rsidRPr="00082F59">
        <w:rPr>
          <w:rFonts w:ascii="Times New Roman" w:hAnsi="Times New Roman" w:cs="Times New Roman"/>
        </w:rPr>
        <w:t>Operations and Financial Analytics are Complementary</w:t>
      </w:r>
    </w:p>
    <w:p w14:paraId="00091A0F" w14:textId="43F920F9"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C12B315" w14:textId="529D38F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Design</w:t>
      </w:r>
    </w:p>
    <w:p w14:paraId="6616B5D5" w14:textId="11807AB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shall combine operational field activity with financial information to support proactive project management.</w:t>
      </w:r>
    </w:p>
    <w:p w14:paraId="18C94476" w14:textId="5BD41B40"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Rationale</w:t>
      </w:r>
      <w:r w:rsidR="00082F59">
        <w:rPr>
          <w:rFonts w:ascii="Times New Roman" w:hAnsi="Times New Roman" w:cs="Times New Roman"/>
          <w:b/>
          <w:bCs/>
        </w:rPr>
        <w:t xml:space="preserve">: </w:t>
      </w:r>
      <w:r w:rsidRPr="00082F59">
        <w:rPr>
          <w:rFonts w:ascii="Times New Roman" w:hAnsi="Times New Roman" w:cs="Times New Roman"/>
        </w:rPr>
        <w:t>Operational information provides leading indicators while accounting information provides financial validation.</w:t>
      </w:r>
    </w:p>
    <w:p w14:paraId="7C54342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Together they provide a more complete understanding of project performance.</w:t>
      </w:r>
    </w:p>
    <w:p w14:paraId="45620C2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D79B073"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Supports proactive decision-making </w:t>
      </w:r>
    </w:p>
    <w:p w14:paraId="20731C0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Bridges field operations and accounting </w:t>
      </w:r>
    </w:p>
    <w:p w14:paraId="7B06C96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Provides a more complete analytical model </w:t>
      </w:r>
    </w:p>
    <w:p w14:paraId="5ECC554D" w14:textId="18E1806E"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DEC-006</w:t>
      </w:r>
      <w:r w:rsidR="00082F59">
        <w:rPr>
          <w:rFonts w:ascii="Times New Roman" w:hAnsi="Times New Roman" w:cs="Times New Roman"/>
        </w:rPr>
        <w:t xml:space="preserve"> - </w:t>
      </w:r>
      <w:r w:rsidRPr="00082F59">
        <w:rPr>
          <w:rFonts w:ascii="Times New Roman" w:hAnsi="Times New Roman" w:cs="Times New Roman"/>
        </w:rPr>
        <w:t>Production Standards Managed Independently</w:t>
      </w:r>
    </w:p>
    <w:p w14:paraId="4A6D3D3F" w14:textId="124A0E10"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Proposed</w:t>
      </w:r>
    </w:p>
    <w:p w14:paraId="58EC052C" w14:textId="4E9A8E16"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Modeling</w:t>
      </w:r>
    </w:p>
    <w:p w14:paraId="243679F5" w14:textId="0E232AF6"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Production standards should be maintained separately from actual production transactions.</w:t>
      </w:r>
    </w:p>
    <w:p w14:paraId="43948D8E" w14:textId="259E732B"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Expected production rates originate from estimating experience, historical production, and superintendent knowledge and should remain independent of daily production activity.</w:t>
      </w:r>
    </w:p>
    <w:p w14:paraId="350765F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77DF855A"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Enables expected vs. actual comparisons </w:t>
      </w:r>
    </w:p>
    <w:p w14:paraId="550BB89E"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Supports continuous improvement </w:t>
      </w:r>
    </w:p>
    <w:p w14:paraId="3DB66708"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Preserves historical production records </w:t>
      </w:r>
    </w:p>
    <w:p w14:paraId="520118E0" w14:textId="145CBDE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DEC-007</w:t>
      </w:r>
      <w:r w:rsidR="00082F59">
        <w:rPr>
          <w:rFonts w:ascii="Times New Roman" w:hAnsi="Times New Roman" w:cs="Times New Roman"/>
        </w:rPr>
        <w:t xml:space="preserve"> - </w:t>
      </w:r>
      <w:r w:rsidRPr="00082F59">
        <w:rPr>
          <w:rFonts w:ascii="Times New Roman" w:hAnsi="Times New Roman" w:cs="Times New Roman"/>
        </w:rPr>
        <w:t>Production Units are Activity Specific</w:t>
      </w:r>
    </w:p>
    <w:p w14:paraId="7722F543" w14:textId="59ECE9B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030A7CC4" w14:textId="59EECF3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 </w:t>
      </w:r>
      <w:r w:rsidRPr="00082F59">
        <w:rPr>
          <w:rFonts w:ascii="Times New Roman" w:hAnsi="Times New Roman" w:cs="Times New Roman"/>
        </w:rPr>
        <w:t>Data Modeling</w:t>
      </w:r>
    </w:p>
    <w:p w14:paraId="5CEB6A7F" w14:textId="1F9089A9"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Production units shall be associated with Cost Codes rather than globally standardized.</w:t>
      </w:r>
    </w:p>
    <w:p w14:paraId="0ACC2DE8" w14:textId="73BFB059"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 </w:t>
      </w:r>
      <w:r w:rsidRPr="00082F59">
        <w:rPr>
          <w:rFonts w:ascii="Times New Roman" w:hAnsi="Times New Roman" w:cs="Times New Roman"/>
        </w:rPr>
        <w:t>Construction activities are measured using different production units such as Tons, Square Feet, Linear Feet, Cubic Yards, and Gallons.</w:t>
      </w:r>
    </w:p>
    <w:p w14:paraId="5609DF4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3C81B0F"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Supports accurate production reporting </w:t>
      </w:r>
    </w:p>
    <w:p w14:paraId="3EC2EDFC"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Eliminates unnecessary data conversions </w:t>
      </w:r>
    </w:p>
    <w:p w14:paraId="5730A6BA"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Improves analytical flexibility </w:t>
      </w:r>
    </w:p>
    <w:p w14:paraId="3D1B6475" w14:textId="0ADD0862" w:rsidR="00F04BB0" w:rsidRPr="00082F59" w:rsidRDefault="00F04BB0" w:rsidP="00082F59">
      <w:pPr>
        <w:pStyle w:val="Heading3"/>
      </w:pPr>
      <w:r w:rsidRPr="00082F59">
        <w:t>DEC-008</w:t>
      </w:r>
      <w:r w:rsidR="005A14A5" w:rsidRPr="00082F59">
        <w:t xml:space="preserve"> - Solution Organized Around Business Perspectives</w:t>
      </w:r>
    </w:p>
    <w:p w14:paraId="5558B0E7" w14:textId="7EF564EC"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5A14A5" w:rsidRPr="00082F59">
        <w:rPr>
          <w:rFonts w:ascii="Times New Roman" w:hAnsi="Times New Roman" w:cs="Times New Roman"/>
          <w:b/>
          <w:bCs/>
        </w:rPr>
        <w:t xml:space="preserve"> : </w:t>
      </w:r>
      <w:r w:rsidRPr="00082F59">
        <w:rPr>
          <w:rFonts w:ascii="Times New Roman" w:hAnsi="Times New Roman" w:cs="Times New Roman"/>
        </w:rPr>
        <w:t>Approved</w:t>
      </w:r>
    </w:p>
    <w:p w14:paraId="55451C65" w14:textId="36AE8A40"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5A14A5" w:rsidRPr="00082F59">
        <w:rPr>
          <w:rFonts w:ascii="Times New Roman" w:hAnsi="Times New Roman" w:cs="Times New Roman"/>
          <w:b/>
          <w:bCs/>
        </w:rPr>
        <w:t xml:space="preserve"> : </w:t>
      </w:r>
      <w:r w:rsidRPr="00082F59">
        <w:rPr>
          <w:rFonts w:ascii="Times New Roman" w:hAnsi="Times New Roman" w:cs="Times New Roman"/>
        </w:rPr>
        <w:t>User Experience</w:t>
      </w:r>
    </w:p>
    <w:p w14:paraId="7B013FC9" w14:textId="0505A540"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5A14A5" w:rsidRPr="00082F59">
        <w:rPr>
          <w:rFonts w:ascii="Times New Roman" w:hAnsi="Times New Roman" w:cs="Times New Roman"/>
          <w:b/>
          <w:bCs/>
        </w:rPr>
        <w:t xml:space="preserve">: </w:t>
      </w:r>
      <w:r w:rsidRPr="00082F59">
        <w:rPr>
          <w:rFonts w:ascii="Times New Roman" w:hAnsi="Times New Roman" w:cs="Times New Roman"/>
        </w:rPr>
        <w:t>Dashboards shall be organized around business perspectives (Executive Performance, Project Performance, Daily Operations, Historical Analytics) rather than individual job roles.</w:t>
      </w:r>
    </w:p>
    <w:p w14:paraId="49E4A0A9" w14:textId="4712FBF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5A14A5" w:rsidRPr="00082F59">
        <w:rPr>
          <w:rFonts w:ascii="Times New Roman" w:hAnsi="Times New Roman" w:cs="Times New Roman"/>
          <w:b/>
          <w:bCs/>
        </w:rPr>
        <w:t xml:space="preserve"> : </w:t>
      </w:r>
      <w:r w:rsidRPr="00082F59">
        <w:rPr>
          <w:rFonts w:ascii="Times New Roman" w:hAnsi="Times New Roman" w:cs="Times New Roman"/>
        </w:rPr>
        <w:t>Multiple business roles often require the same information from different perspectives.</w:t>
      </w:r>
      <w:r w:rsidR="005A14A5" w:rsidRPr="00082F59">
        <w:rPr>
          <w:rFonts w:ascii="Times New Roman" w:hAnsi="Times New Roman" w:cs="Times New Roman"/>
        </w:rPr>
        <w:t xml:space="preserve"> </w:t>
      </w:r>
      <w:r w:rsidRPr="00082F59">
        <w:rPr>
          <w:rFonts w:ascii="Times New Roman" w:hAnsi="Times New Roman" w:cs="Times New Roman"/>
        </w:rPr>
        <w:t>Organizing dashboards around business objectives improves usability and reduces duplication.</w:t>
      </w:r>
    </w:p>
    <w:p w14:paraId="62F4600A"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4154802"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lastRenderedPageBreak/>
        <w:t xml:space="preserve">Cleaner dashboard architecture </w:t>
      </w:r>
    </w:p>
    <w:p w14:paraId="4F784F8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Better user experience </w:t>
      </w:r>
    </w:p>
    <w:p w14:paraId="559040A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Improved scalability </w:t>
      </w:r>
    </w:p>
    <w:p w14:paraId="5F26BF63" w14:textId="314F3D4D" w:rsidR="005A14A5" w:rsidRPr="00082F59" w:rsidRDefault="00082F59" w:rsidP="005A14A5">
      <w:pPr>
        <w:pStyle w:val="Heading3"/>
        <w:rPr>
          <w:rFonts w:ascii="Times New Roman" w:hAnsi="Times New Roman" w:cs="Times New Roman"/>
        </w:rPr>
      </w:pPr>
      <w:r w:rsidRPr="00082F59">
        <w:rPr>
          <w:rFonts w:ascii="Times New Roman" w:hAnsi="Times New Roman" w:cs="Times New Roman"/>
        </w:rPr>
        <w:t>D</w:t>
      </w:r>
      <w:r w:rsidR="005A14A5" w:rsidRPr="00082F59">
        <w:rPr>
          <w:rFonts w:ascii="Times New Roman" w:hAnsi="Times New Roman" w:cs="Times New Roman"/>
        </w:rPr>
        <w:t>EC-009 – Operational Validation Before Financial Reporting</w:t>
      </w:r>
    </w:p>
    <w:p w14:paraId="6C89345F" w14:textId="77777777" w:rsidR="005A14A5" w:rsidRPr="00082F59" w:rsidRDefault="005A14A5" w:rsidP="005A14A5">
      <w:pPr>
        <w:pStyle w:val="NormalWeb"/>
      </w:pPr>
      <w:r w:rsidRPr="00082F59">
        <w:rPr>
          <w:rStyle w:val="Strong"/>
        </w:rPr>
        <w:t>Status:</w:t>
      </w:r>
      <w:r w:rsidRPr="00082F59">
        <w:t xml:space="preserve"> Approved</w:t>
      </w:r>
    </w:p>
    <w:p w14:paraId="66AB0091" w14:textId="77777777" w:rsidR="005A14A5" w:rsidRPr="00082F59" w:rsidRDefault="005A14A5" w:rsidP="005A14A5">
      <w:pPr>
        <w:pStyle w:val="NormalWeb"/>
      </w:pPr>
      <w:r w:rsidRPr="00082F59">
        <w:rPr>
          <w:rStyle w:val="Strong"/>
        </w:rPr>
        <w:t>Decision:</w:t>
      </w:r>
      <w:r w:rsidRPr="00082F59">
        <w:t xml:space="preserve"> Operational data validation shall occur before financial reporting and KPI calculation.</w:t>
      </w:r>
    </w:p>
    <w:p w14:paraId="4941B5C8" w14:textId="77777777" w:rsidR="005A14A5" w:rsidRPr="00082F59" w:rsidRDefault="005A14A5" w:rsidP="005A14A5">
      <w:pPr>
        <w:pStyle w:val="NormalWeb"/>
      </w:pPr>
      <w:r w:rsidRPr="00082F59">
        <w:rPr>
          <w:rStyle w:val="Strong"/>
        </w:rPr>
        <w:t>Rationale:</w:t>
      </w:r>
      <w:r w:rsidRPr="00082F59">
        <w:t xml:space="preserve"> Job Cost relies on accurate operational postings to ensure meaningful financial analysis.</w:t>
      </w:r>
    </w:p>
    <w:p w14:paraId="699343F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DEC-010 – Forecasting as a Core Capability</w:t>
      </w:r>
    </w:p>
    <w:p w14:paraId="51A35C48" w14:textId="77777777" w:rsidR="005A14A5" w:rsidRPr="00082F59" w:rsidRDefault="005A14A5" w:rsidP="005A14A5">
      <w:pPr>
        <w:pStyle w:val="NormalWeb"/>
      </w:pPr>
      <w:r w:rsidRPr="00082F59">
        <w:rPr>
          <w:rStyle w:val="Strong"/>
        </w:rPr>
        <w:t>Status:</w:t>
      </w:r>
      <w:r w:rsidRPr="00082F59">
        <w:t xml:space="preserve"> Approved</w:t>
      </w:r>
    </w:p>
    <w:p w14:paraId="0318122C" w14:textId="77777777" w:rsidR="005A14A5" w:rsidRPr="00082F59" w:rsidRDefault="005A14A5" w:rsidP="005A14A5">
      <w:pPr>
        <w:pStyle w:val="NormalWeb"/>
      </w:pPr>
      <w:r w:rsidRPr="00082F59">
        <w:rPr>
          <w:rStyle w:val="Strong"/>
        </w:rPr>
        <w:t>Decision:</w:t>
      </w:r>
      <w:r w:rsidRPr="00082F59">
        <w:t xml:space="preserve"> Forecasting capabilities shall be incorporated throughout the analytics solution.</w:t>
      </w:r>
    </w:p>
    <w:p w14:paraId="4D7DD78F" w14:textId="77777777" w:rsidR="005A14A5" w:rsidRPr="00082F59" w:rsidRDefault="005A14A5" w:rsidP="005A14A5">
      <w:pPr>
        <w:pStyle w:val="NormalWeb"/>
      </w:pPr>
      <w:r w:rsidRPr="00082F59">
        <w:rPr>
          <w:rStyle w:val="Strong"/>
        </w:rPr>
        <w:t>Rationale:</w:t>
      </w:r>
      <w:r w:rsidRPr="00082F59">
        <w:t xml:space="preserve"> Management decisions rely on expected future performance rather than historical reporting alone.</w:t>
      </w:r>
    </w:p>
    <w:p w14:paraId="34F6F07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DEC-011 – Budget Revision History</w:t>
      </w:r>
    </w:p>
    <w:p w14:paraId="0073D4E2" w14:textId="77777777" w:rsidR="005A14A5" w:rsidRPr="00082F59" w:rsidRDefault="005A14A5" w:rsidP="005A14A5">
      <w:pPr>
        <w:pStyle w:val="NormalWeb"/>
      </w:pPr>
      <w:r w:rsidRPr="00082F59">
        <w:rPr>
          <w:rStyle w:val="Strong"/>
        </w:rPr>
        <w:t>Status:</w:t>
      </w:r>
      <w:r w:rsidRPr="00082F59">
        <w:t xml:space="preserve"> Approved</w:t>
      </w:r>
    </w:p>
    <w:p w14:paraId="76BA98CC" w14:textId="77777777" w:rsidR="005A14A5" w:rsidRPr="00082F59" w:rsidRDefault="005A14A5" w:rsidP="005A14A5">
      <w:pPr>
        <w:pStyle w:val="NormalWeb"/>
      </w:pPr>
      <w:r w:rsidRPr="00082F59">
        <w:rPr>
          <w:rStyle w:val="Strong"/>
        </w:rPr>
        <w:t>Decision:</w:t>
      </w:r>
      <w:r w:rsidRPr="00082F59">
        <w:t xml:space="preserve"> Budget revisions shall preserve historical values while tracking approved adjustments.</w:t>
      </w:r>
    </w:p>
    <w:p w14:paraId="6F84BAE0" w14:textId="77777777" w:rsidR="005A14A5" w:rsidRPr="00082F59" w:rsidRDefault="005A14A5" w:rsidP="005A14A5">
      <w:pPr>
        <w:pStyle w:val="NormalWeb"/>
      </w:pPr>
      <w:r w:rsidRPr="00082F59">
        <w:rPr>
          <w:rStyle w:val="Strong"/>
        </w:rPr>
        <w:t>Rationale:</w:t>
      </w:r>
      <w:r w:rsidRPr="00082F59">
        <w:t xml:space="preserve"> Historical budget information supports project analysis and auditability.</w:t>
      </w:r>
    </w:p>
    <w:p w14:paraId="3538CC3D"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DEC-012 – Transparent Forecasting Methodology</w:t>
      </w:r>
    </w:p>
    <w:p w14:paraId="5F002251" w14:textId="77777777" w:rsidR="005A14A5" w:rsidRPr="00082F59" w:rsidRDefault="005A14A5" w:rsidP="005A14A5">
      <w:pPr>
        <w:pStyle w:val="NormalWeb"/>
      </w:pPr>
      <w:r w:rsidRPr="00082F59">
        <w:rPr>
          <w:rStyle w:val="Strong"/>
        </w:rPr>
        <w:t>Status:</w:t>
      </w:r>
      <w:r w:rsidRPr="00082F59">
        <w:t xml:space="preserve"> Approved</w:t>
      </w:r>
    </w:p>
    <w:p w14:paraId="23315552" w14:textId="77777777" w:rsidR="005A14A5" w:rsidRPr="00082F59" w:rsidRDefault="005A14A5" w:rsidP="005A14A5">
      <w:pPr>
        <w:pStyle w:val="NormalWeb"/>
      </w:pPr>
      <w:r w:rsidRPr="00082F59">
        <w:rPr>
          <w:rStyle w:val="Strong"/>
        </w:rPr>
        <w:t>Decision:</w:t>
      </w:r>
      <w:r w:rsidRPr="00082F59">
        <w:t xml:space="preserve"> Initial forecasting models shall use transparent business rules rather than complex predictive algorithms.</w:t>
      </w:r>
    </w:p>
    <w:p w14:paraId="36A2E0BD" w14:textId="77777777" w:rsidR="005A14A5" w:rsidRPr="00082F59" w:rsidRDefault="005A14A5" w:rsidP="005A14A5">
      <w:pPr>
        <w:pStyle w:val="NormalWeb"/>
      </w:pPr>
      <w:r w:rsidRPr="00082F59">
        <w:rPr>
          <w:rStyle w:val="Strong"/>
        </w:rPr>
        <w:t>Rationale:</w:t>
      </w:r>
      <w:r w:rsidRPr="00082F59">
        <w:t xml:space="preserve"> Users are more likely to trust and adopt forecasting methods they understand.</w:t>
      </w:r>
    </w:p>
    <w:p w14:paraId="599CEAA8"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DEC-013 – Progressive Drill-Down Analysis</w:t>
      </w:r>
    </w:p>
    <w:p w14:paraId="73E3099E" w14:textId="77777777" w:rsidR="005A14A5" w:rsidRPr="00082F59" w:rsidRDefault="005A14A5" w:rsidP="005A14A5">
      <w:pPr>
        <w:pStyle w:val="NormalWeb"/>
      </w:pPr>
      <w:r w:rsidRPr="00082F59">
        <w:rPr>
          <w:rStyle w:val="Strong"/>
        </w:rPr>
        <w:t>Status:</w:t>
      </w:r>
      <w:r w:rsidRPr="00082F59">
        <w:t xml:space="preserve"> Approved</w:t>
      </w:r>
    </w:p>
    <w:p w14:paraId="67F4E363" w14:textId="77777777" w:rsidR="005A14A5" w:rsidRPr="00082F59" w:rsidRDefault="005A14A5" w:rsidP="005A14A5">
      <w:pPr>
        <w:pStyle w:val="NormalWeb"/>
      </w:pPr>
      <w:r w:rsidRPr="00082F59">
        <w:rPr>
          <w:rStyle w:val="Strong"/>
        </w:rPr>
        <w:t>Decision:</w:t>
      </w:r>
      <w:r w:rsidRPr="00082F59">
        <w:t xml:space="preserve"> The solution shall support hierarchical drill-down from executive summaries to transaction-level detail.</w:t>
      </w:r>
    </w:p>
    <w:p w14:paraId="38C449DF" w14:textId="77777777" w:rsidR="005A14A5" w:rsidRPr="00082F59" w:rsidRDefault="005A14A5" w:rsidP="005A14A5">
      <w:pPr>
        <w:pStyle w:val="NormalWeb"/>
      </w:pPr>
      <w:r w:rsidRPr="00082F59">
        <w:rPr>
          <w:rStyle w:val="Strong"/>
        </w:rPr>
        <w:t>Rationale:</w:t>
      </w:r>
      <w:r w:rsidRPr="00082F59">
        <w:t xml:space="preserve"> Management investigates issues by progressively narrowing the scope of analysis.</w:t>
      </w:r>
    </w:p>
    <w:p w14:paraId="6DA5706C" w14:textId="77777777" w:rsidR="00E7408C" w:rsidRPr="00E7408C" w:rsidRDefault="00E7408C" w:rsidP="00E7408C">
      <w:pPr>
        <w:pStyle w:val="Heading3"/>
      </w:pPr>
      <w:r w:rsidRPr="00E7408C">
        <w:t>DEC-014 – Independent Production Standards</w:t>
      </w:r>
    </w:p>
    <w:p w14:paraId="7ED6DFA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44F3D20"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lastRenderedPageBreak/>
        <w:t>Decision:</w:t>
      </w:r>
      <w:r w:rsidRPr="00E7408C">
        <w:rPr>
          <w:rFonts w:ascii="Times New Roman" w:hAnsi="Times New Roman" w:cs="Times New Roman"/>
        </w:rPr>
        <w:br/>
        <w:t>Production standards shall be maintained independently from project estimates and referenced during the estimating process.</w:t>
      </w:r>
    </w:p>
    <w:p w14:paraId="3EE8A94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Production standards represent organizational knowledge developed from historical performance and professional experience. Maintaining them separately allows standards to evolve without modifying historical project estimates.</w:t>
      </w:r>
    </w:p>
    <w:p w14:paraId="5068598A" w14:textId="77777777" w:rsidR="00E7408C" w:rsidRPr="00E7408C" w:rsidRDefault="00E7408C" w:rsidP="00E7408C">
      <w:pPr>
        <w:pStyle w:val="Heading3"/>
      </w:pPr>
      <w:r w:rsidRPr="00E7408C">
        <w:t>DEC-015 – Standard Crew Templates</w:t>
      </w:r>
    </w:p>
    <w:p w14:paraId="4E3FD76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023857B4"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model standard crew configurations and equipment packages as reusable reference data.</w:t>
      </w:r>
    </w:p>
    <w:p w14:paraId="4689457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Most construction activities are performed using standard crew compositions and equipment sets. Reusable templates improve estimating consistency while allowing project-specific adjustments when necessary.</w:t>
      </w:r>
    </w:p>
    <w:p w14:paraId="3D81BAAE" w14:textId="77777777" w:rsidR="00E7408C" w:rsidRPr="00E7408C" w:rsidRDefault="00E7408C" w:rsidP="00E7408C">
      <w:pPr>
        <w:pStyle w:val="Heading3"/>
      </w:pPr>
      <w:r w:rsidRPr="00E7408C">
        <w:t>DEC-016 – Estimate-to-Budget Lifecycle</w:t>
      </w:r>
    </w:p>
    <w:p w14:paraId="34E384B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7685D92"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preserve the relationship between the original estimate and the approved operational budget.</w:t>
      </w:r>
    </w:p>
    <w:p w14:paraId="19DA56C6"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The approved job budget is created by reviewing and refining the original estimate. Preserving both versions supports estimating analysis, budget validation, and continuous improvement.</w:t>
      </w:r>
    </w:p>
    <w:p w14:paraId="6E0D335A" w14:textId="77777777" w:rsidR="00E7408C" w:rsidRPr="00E7408C" w:rsidRDefault="00E7408C" w:rsidP="00E7408C">
      <w:pPr>
        <w:pStyle w:val="Heading3"/>
      </w:pPr>
      <w:r w:rsidRPr="00E7408C">
        <w:t>DEC-017 – Material Planning Methodology</w:t>
      </w:r>
    </w:p>
    <w:p w14:paraId="0B77FCE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52F0C6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support separate estimating methodologies for major materials and incidental materials.</w:t>
      </w:r>
    </w:p>
    <w:p w14:paraId="48FBB25F" w14:textId="77777777" w:rsid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Major construction materials are estimated using project-specific quantities and current supplier pricing, while incidental materials are estimated using historical usage allowances. Modeling these approaches separately improves estimating accuracy and analytical flexibility.</w:t>
      </w:r>
    </w:p>
    <w:p w14:paraId="33ACFC3D" w14:textId="77777777" w:rsidR="002841A3" w:rsidRPr="002841A3" w:rsidRDefault="002841A3" w:rsidP="002841A3">
      <w:pPr>
        <w:pStyle w:val="Heading3"/>
      </w:pPr>
      <w:r w:rsidRPr="002841A3">
        <w:t>DEC-018 – Customer and Property Separation</w:t>
      </w:r>
    </w:p>
    <w:p w14:paraId="0E557C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C4AB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Customer and Property/Site will be modeled as separate business entities. Each job will belong to one customer and one property, while a customer may have multiple properties and multiple jobs.</w:t>
      </w:r>
    </w:p>
    <w:p w14:paraId="06EA465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organization contractually responsible for the work may differ from the physical location where the work is performed. Separating these concepts supports property-management customers, repeated work at the same site, site-specific contacts and restrictions, and customer-level billing defaults.</w:t>
      </w:r>
    </w:p>
    <w:p w14:paraId="62DA4484" w14:textId="77777777" w:rsidR="002841A3" w:rsidRPr="002841A3" w:rsidRDefault="002841A3" w:rsidP="002841A3">
      <w:pPr>
        <w:pStyle w:val="Heading3"/>
      </w:pPr>
      <w:r w:rsidRPr="002841A3">
        <w:lastRenderedPageBreak/>
        <w:t>DEC-019 – Opportunity, Quote, and Budget Lifecycle</w:t>
      </w:r>
    </w:p>
    <w:p w14:paraId="6A836DD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19D4E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Opportunity, Quote, Bid Budget, Job, and Job Budget will remain distinct lifecycle concepts. One opportunity may contain multiple quotes, and multiple accepted quotes and bid budgets may be combined into one job and one original job budget.</w:t>
      </w:r>
    </w:p>
    <w:p w14:paraId="2D098F2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opportunity represents potential work, the quote is the customer-facing proposal, and the bid budget is the internal cost and margin plan. Preserving these distinctions provides traceability from potential work through accepted scope and awarded job execution.</w:t>
      </w:r>
    </w:p>
    <w:p w14:paraId="63A013E0" w14:textId="77777777" w:rsidR="002841A3" w:rsidRPr="002841A3" w:rsidRDefault="002841A3" w:rsidP="002841A3">
      <w:pPr>
        <w:pStyle w:val="Heading3"/>
      </w:pPr>
      <w:r w:rsidRPr="002841A3">
        <w:t>DEC-020 – Original Job Budget Preservation</w:t>
      </w:r>
    </w:p>
    <w:p w14:paraId="0F275AE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74A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original job budget will remain permanently preserved. Scope changes will be represented through separate accepted change-order budgets, and internal budget changes will be represented through budget-adjustment records.</w:t>
      </w:r>
    </w:p>
    <w:p w14:paraId="2557B0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Preserving the original budget supports auditability, scope-change analysis, revised-budget calculation, fade-and-gain reporting, and comparison of original expectations with final project performance.</w:t>
      </w:r>
    </w:p>
    <w:p w14:paraId="5CC70546" w14:textId="77777777" w:rsidR="002841A3" w:rsidRPr="002841A3" w:rsidRDefault="002841A3" w:rsidP="002841A3">
      <w:pPr>
        <w:pStyle w:val="Heading3"/>
      </w:pPr>
      <w:r w:rsidRPr="002841A3">
        <w:t>DEC-021 – Revenue Governance</w:t>
      </w:r>
    </w:p>
    <w:p w14:paraId="5A2230F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CBD21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may originate only from the original job budget and accepted change-order budgets. Ordinary budget adjustments and warranty budgets may not change revenue.</w:t>
      </w:r>
    </w:p>
    <w:p w14:paraId="2EC4175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Contract revenue should remain tied to customer-approved scope. Separating cost adjustments from revenue changes preserves contract-value integrity and prevents internal budget corrections from altering reported revenue.</w:t>
      </w:r>
    </w:p>
    <w:p w14:paraId="186F68B5" w14:textId="77777777" w:rsidR="002841A3" w:rsidRPr="002841A3" w:rsidRDefault="002841A3" w:rsidP="002841A3">
      <w:pPr>
        <w:pStyle w:val="Heading3"/>
      </w:pPr>
      <w:r w:rsidRPr="002841A3">
        <w:t>DEC-022 – Standard Budget Hierarchy</w:t>
      </w:r>
    </w:p>
    <w:p w14:paraId="0510A3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6D691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Bid budgets, original job budgets, change-order budgets, warranty budgets, and actual job-cost transactions will use the standard hierarchy:</w:t>
      </w:r>
    </w:p>
    <w:p w14:paraId="0265F885"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Job → Cost Code → Phase → Cost Type</w:t>
      </w:r>
    </w:p>
    <w:p w14:paraId="1CFBB347"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No additional budget levels such as proposal line, quote section, location, bid item, or schedule-of-values item will be introduced.</w:t>
      </w:r>
    </w:p>
    <w:p w14:paraId="7F195D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A common hierarchy supports consistent estimating, budgeting, field entry, job-cost posting, variance analysis, WIP, forecasting, and dashboard reporting.</w:t>
      </w:r>
    </w:p>
    <w:p w14:paraId="1B12AB4C" w14:textId="77777777" w:rsidR="002841A3" w:rsidRPr="002841A3" w:rsidRDefault="002841A3" w:rsidP="002841A3">
      <w:pPr>
        <w:pStyle w:val="Heading3"/>
      </w:pPr>
      <w:r w:rsidRPr="002841A3">
        <w:t>DEC-023 – Change-Order Budget Structure</w:t>
      </w:r>
    </w:p>
    <w:p w14:paraId="364255A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9DBE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change order will maintain its own budget using the same hierarchy and detail structure as the original job budget. Only accepted change-order budgets will be included in revised cost and revenue calculations.</w:t>
      </w:r>
    </w:p>
    <w:p w14:paraId="73F566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change-order budgets preserve scope-change traceability while allowing accepted changes to roll into revised job analysis without overwriting the original budget.</w:t>
      </w:r>
    </w:p>
    <w:p w14:paraId="54677F14" w14:textId="77777777" w:rsidR="002841A3" w:rsidRPr="002841A3" w:rsidRDefault="002841A3" w:rsidP="002841A3">
      <w:pPr>
        <w:pStyle w:val="Heading3"/>
      </w:pPr>
      <w:r w:rsidRPr="002841A3">
        <w:t>DEC-024 – Warranty Budget Structure</w:t>
      </w:r>
    </w:p>
    <w:p w14:paraId="218316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D109B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Warranty work will remain on the original job and original cost codes using phases 950 and 955. Warranty work may use a separate zero-revenue warranty budget.</w:t>
      </w:r>
    </w:p>
    <w:p w14:paraId="4123180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Warranty costs affect the final profitability of the original project and should not be transferred to a separate job. A separate warranty budget supports cost planning and variance analysis without increasing contract revenue.</w:t>
      </w:r>
    </w:p>
    <w:p w14:paraId="06DF547A" w14:textId="77777777" w:rsidR="002841A3" w:rsidRPr="002841A3" w:rsidRDefault="002841A3" w:rsidP="002841A3">
      <w:pPr>
        <w:pStyle w:val="Heading3"/>
      </w:pPr>
      <w:r w:rsidRPr="002841A3">
        <w:t>DEC-025 – Budget Adjustment Treatment</w:t>
      </w:r>
    </w:p>
    <w:p w14:paraId="40B87B9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6A8E0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Budget adjustments will be maintained as separate records that may increase or decrease quantity or cost. Adjustments may apply at the job, cost-code, phase, or cost-type level and may not modify revenue.</w:t>
      </w:r>
    </w:p>
    <w:p w14:paraId="12D7562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adjustment records preserve original budget values, support audit visibility, and allow internal cost-plan changes without misrepresenting customer-approved contract revenue.</w:t>
      </w:r>
    </w:p>
    <w:p w14:paraId="3EB0A715" w14:textId="77777777" w:rsidR="002841A3" w:rsidRPr="002841A3" w:rsidRDefault="002841A3" w:rsidP="002841A3">
      <w:pPr>
        <w:pStyle w:val="Heading3"/>
      </w:pPr>
      <w:r w:rsidRPr="002841A3">
        <w:t>DEC-026 – Revenue Allocation by Cost Type</w:t>
      </w:r>
    </w:p>
    <w:p w14:paraId="1A06AE4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D5928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will be entered at the cost-code level and allocated across cost types according to each cost type’s percentage of total cost within the cost code.</w:t>
      </w:r>
    </w:p>
    <w:p w14:paraId="307A158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Cost-type revenue allocation supports analysis of margin and revenue contribution for labor, burden, materials, equipment, subcontractors, and miscellaneous costs while preserving cost-code revenue as the original business input.</w:t>
      </w:r>
    </w:p>
    <w:p w14:paraId="2B66AA7D" w14:textId="77777777" w:rsidR="002841A3" w:rsidRPr="002841A3" w:rsidRDefault="002841A3" w:rsidP="002841A3">
      <w:pPr>
        <w:pStyle w:val="Heading3"/>
      </w:pPr>
      <w:r w:rsidRPr="002841A3">
        <w:lastRenderedPageBreak/>
        <w:t>DEC-027 – Job-to-Site Relationship</w:t>
      </w:r>
    </w:p>
    <w:p w14:paraId="1CA73A5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67575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belong to exactly one property or site. A property may have multiple jobs over time, but one job may not span multiple sites.</w:t>
      </w:r>
    </w:p>
    <w:p w14:paraId="7336A45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operating model and simplifies site contacts, access restrictions, address management, scheduling, and location-based reporting.</w:t>
      </w:r>
    </w:p>
    <w:p w14:paraId="62888DAA" w14:textId="77777777" w:rsidR="002841A3" w:rsidRPr="002841A3" w:rsidRDefault="002841A3" w:rsidP="002841A3">
      <w:pPr>
        <w:pStyle w:val="Heading3"/>
      </w:pPr>
      <w:r w:rsidRPr="002841A3">
        <w:t>DEC-028 – Job Responsibility Model</w:t>
      </w:r>
    </w:p>
    <w:p w14:paraId="2BAF99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A91A5A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have one owning division, one project manager, one superintendent, one sales representative, and one estimator. Project coordinators and foremen will support more flexible assignment relationships.</w:t>
      </w:r>
    </w:p>
    <w:p w14:paraId="108CF9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Some responsibilities are clearly job-level, while project coordinators may be involved by division, crew, cost code, or work type, and foremen are accountable for specific job cost codes.</w:t>
      </w:r>
    </w:p>
    <w:p w14:paraId="76C4253A" w14:textId="77777777" w:rsidR="002841A3" w:rsidRPr="002841A3" w:rsidRDefault="002841A3" w:rsidP="002841A3">
      <w:pPr>
        <w:pStyle w:val="Heading3"/>
      </w:pPr>
      <w:r w:rsidRPr="002841A3">
        <w:t>DEC-029 – Foreman Assignment by Cost Code</w:t>
      </w:r>
    </w:p>
    <w:p w14:paraId="5DD5200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A6D0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responsibility will be associated with job cost codes rather than represented only as a single job-level assignment. The model will distinguish planned foreman responsibility from actual daily foreman responsibility when necessary.</w:t>
      </w:r>
    </w:p>
    <w:p w14:paraId="60769A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One job may have multiple foremen, and one foreman may be responsible for multiple cost codes. Cost-code-level assignment is also required for labor-performance and incentive analysis.</w:t>
      </w:r>
    </w:p>
    <w:p w14:paraId="345286FB" w14:textId="77777777" w:rsidR="002841A3" w:rsidRPr="002841A3" w:rsidRDefault="002841A3" w:rsidP="002841A3">
      <w:pPr>
        <w:pStyle w:val="Heading3"/>
      </w:pPr>
      <w:r w:rsidRPr="002841A3">
        <w:t>DEC-030 – Employee Time Entry Grain</w:t>
      </w:r>
    </w:p>
    <w:p w14:paraId="5D1117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1FF5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employee time entry will be the authoritative labor activity record. Each entry will identify employee, work date, job, cost code, phase, hours, start time, end time, and labor code.</w:t>
      </w:r>
    </w:p>
    <w:p w14:paraId="5A3E139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and employees may split across multiple cost codes and tasks during the same day. Employee-level activity is required for accurate labor costing, prevailing-wage treatment, cost-code reporting, and operational analysis.</w:t>
      </w:r>
    </w:p>
    <w:p w14:paraId="33A97043" w14:textId="77777777" w:rsidR="002841A3" w:rsidRPr="002841A3" w:rsidRDefault="002841A3" w:rsidP="002841A3">
      <w:pPr>
        <w:pStyle w:val="Heading3"/>
      </w:pPr>
      <w:r w:rsidRPr="002841A3">
        <w:t>DEC-031 – Employee Role and Labor Code Separation</w:t>
      </w:r>
    </w:p>
    <w:p w14:paraId="064493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FE43B2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An employee’s normal role and the labor code performed on a specific time entry will be modeled separately.</w:t>
      </w:r>
    </w:p>
    <w:p w14:paraId="41BE5F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An employee may temporarily perform a different task or serve as an acting foreman. Prevailing-wage rates also depend on the work classification actually performed rather than only the employee’s normal role.</w:t>
      </w:r>
    </w:p>
    <w:p w14:paraId="1AEABE0B" w14:textId="77777777" w:rsidR="002841A3" w:rsidRPr="002841A3" w:rsidRDefault="002841A3" w:rsidP="002841A3">
      <w:pPr>
        <w:pStyle w:val="Heading3"/>
      </w:pPr>
      <w:r w:rsidRPr="002841A3">
        <w:t>DEC-032 – Crew Structure and Daily Composition</w:t>
      </w:r>
    </w:p>
    <w:p w14:paraId="3A895A2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2545F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Crews will be modeled as persistent named operational groups with a default foreman and current normal members. Actual daily crew composition and responsibility may differ from the default structure.</w:t>
      </w:r>
    </w:p>
    <w:p w14:paraId="39EC79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are generally stable but may be augmented, split, or reassigned based on daily work requirements. Historical default crew membership is not required for the initial solution.</w:t>
      </w:r>
    </w:p>
    <w:p w14:paraId="5CE93448" w14:textId="77777777" w:rsidR="002841A3" w:rsidRPr="002841A3" w:rsidRDefault="002841A3" w:rsidP="002841A3">
      <w:pPr>
        <w:pStyle w:val="Heading3"/>
      </w:pPr>
      <w:r w:rsidRPr="002841A3">
        <w:t>DEC-033 – Prevailing-Wage Rate Treatment</w:t>
      </w:r>
    </w:p>
    <w:p w14:paraId="7987A5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3EB601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Prevailing-wage rates will be maintained separately by labor classification and effective date. When applicable, the higher of the employee’s regular rate or the prevailing-wage rate will be used.</w:t>
      </w:r>
    </w:p>
    <w:p w14:paraId="57D263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Prevailing-wage projects may require different rates for different classifications of work, and those rates may differ from the employee’s normal wage rate.</w:t>
      </w:r>
    </w:p>
    <w:p w14:paraId="646BE8C8" w14:textId="77777777" w:rsidR="002841A3" w:rsidRPr="002841A3" w:rsidRDefault="002841A3" w:rsidP="002841A3">
      <w:pPr>
        <w:pStyle w:val="Heading3"/>
      </w:pPr>
      <w:r w:rsidRPr="002841A3">
        <w:t>DEC-034 – Burden Cost-Type Treatment</w:t>
      </w:r>
    </w:p>
    <w:p w14:paraId="1ACE3F7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5646C0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remain a separate cost type identified as B. Direct labor will post to Labor, while tax burden and indirect burden will post separately to Burden.</w:t>
      </w:r>
    </w:p>
    <w:p w14:paraId="289209B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Burden is not direct labor and must remain separately visible in budgets, job cost, revenue allocation, variance reporting, forecasting, and margin analysis.</w:t>
      </w:r>
    </w:p>
    <w:p w14:paraId="2A658A0A" w14:textId="77777777" w:rsidR="002841A3" w:rsidRPr="002841A3" w:rsidRDefault="002841A3" w:rsidP="002841A3">
      <w:pPr>
        <w:pStyle w:val="Heading3"/>
      </w:pPr>
      <w:r w:rsidRPr="002841A3">
        <w:t>DEC-035 – Burden Component Separation</w:t>
      </w:r>
    </w:p>
    <w:p w14:paraId="146D6D3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5047B3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contain two separately identifiable components: tax burden and indirect burden. Indirect burden will be calculated as a fixed percentage of direct labor dollars using an effective-dated rate.</w:t>
      </w:r>
    </w:p>
    <w:p w14:paraId="57F73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Tax burden and indirect overhead recovery have different purposes and calculation methods. Separate identification supports reconciliation, rate management, and burden-recovery analysis.</w:t>
      </w:r>
    </w:p>
    <w:p w14:paraId="72A3F35F" w14:textId="77777777" w:rsidR="002841A3" w:rsidRPr="002841A3" w:rsidRDefault="002841A3" w:rsidP="002841A3">
      <w:pPr>
        <w:pStyle w:val="Heading3"/>
      </w:pPr>
      <w:r w:rsidRPr="002841A3">
        <w:lastRenderedPageBreak/>
        <w:t>DEC-036 – Overtime Cost Treatment</w:t>
      </w:r>
    </w:p>
    <w:p w14:paraId="16BC77C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74CC9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Direct jobs will receive labor cost at the regular rate. The overtime premium will be posted to an overhead job and recovered through indirect burden.</w:t>
      </w:r>
    </w:p>
    <w:p w14:paraId="37E34D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treatment prevents project performance from being affected by the day of the week on which work occurs and maintains consistent direct-job labor costing.</w:t>
      </w:r>
    </w:p>
    <w:p w14:paraId="65B4B46E" w14:textId="77777777" w:rsidR="002841A3" w:rsidRPr="002841A3" w:rsidRDefault="002841A3" w:rsidP="002841A3">
      <w:pPr>
        <w:pStyle w:val="Heading3"/>
      </w:pPr>
      <w:r w:rsidRPr="002841A3">
        <w:t>DEC-037 – Individual Equipment Tracking</w:t>
      </w:r>
    </w:p>
    <w:p w14:paraId="607ABB4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703C8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Equipment will be tracked by individual physical unit, even when units of the same equipment type use similar hourly rates.</w:t>
      </w:r>
    </w:p>
    <w:p w14:paraId="6FD00D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Individual-unit tracking supports job-cost detail, equipment utilization, maintenance and ownership-cost comparison, rate evaluation, and future asset-level cost-benefit analysis.</w:t>
      </w:r>
    </w:p>
    <w:p w14:paraId="21F84D71" w14:textId="77777777" w:rsidR="002841A3" w:rsidRPr="002841A3" w:rsidRDefault="002841A3" w:rsidP="002841A3">
      <w:pPr>
        <w:pStyle w:val="Heading3"/>
      </w:pPr>
      <w:r w:rsidRPr="002841A3">
        <w:t>DEC-038 – Effective-Dated Equipment Rates</w:t>
      </w:r>
    </w:p>
    <w:p w14:paraId="4DBFBD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E5C0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equipment unit will have an effective-dated internal hourly rate. The same rate will apply to travel and production.</w:t>
      </w:r>
    </w:p>
    <w:p w14:paraId="3C1130A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Equipment rates may change over time. Effective-dated rates preserve historical job-cost accuracy and prevent later rate changes from altering prior transactions.</w:t>
      </w:r>
    </w:p>
    <w:p w14:paraId="7017BF47" w14:textId="77777777" w:rsidR="002841A3" w:rsidRPr="002841A3" w:rsidRDefault="002841A3" w:rsidP="002841A3">
      <w:pPr>
        <w:pStyle w:val="Heading3"/>
      </w:pPr>
      <w:r w:rsidRPr="002841A3">
        <w:t>DEC-039 – Equipment-Hour Calculation</w:t>
      </w:r>
    </w:p>
    <w:p w14:paraId="5A120B3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442F2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Chargeable equipment hours will be calculated from applicable crew shift hours using a division-specific utilization factor. Foremen will identify whether a unit was used and the applicable job, cost code, and phase.</w:t>
      </w:r>
    </w:p>
    <w:p w14:paraId="2FD157D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approach reduces field-entry burden while providing a standardized method for equipment recovery and cost-code allocation.</w:t>
      </w:r>
    </w:p>
    <w:p w14:paraId="27B81640" w14:textId="77777777" w:rsidR="002841A3" w:rsidRPr="002841A3" w:rsidRDefault="002841A3" w:rsidP="002841A3">
      <w:pPr>
        <w:pStyle w:val="Heading3"/>
      </w:pPr>
      <w:r w:rsidRPr="002841A3">
        <w:t>DEC-040 – Equipment Usage Allocation</w:t>
      </w:r>
    </w:p>
    <w:p w14:paraId="5C3A69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7E8B0E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Each equipment unit will receive separate usage entries for every job, cost code, phase, and date where the unit was used.</w:t>
      </w:r>
    </w:p>
    <w:p w14:paraId="44D81C4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 piece of equipment may support multiple cost codes during one day and may not be used on every cost code worked by the crew. Separate entries preserve accurate cost assignment.</w:t>
      </w:r>
    </w:p>
    <w:p w14:paraId="52E7B0CD" w14:textId="77777777" w:rsidR="002841A3" w:rsidRPr="002841A3" w:rsidRDefault="002841A3" w:rsidP="002841A3">
      <w:pPr>
        <w:pStyle w:val="Heading3"/>
      </w:pPr>
      <w:r w:rsidRPr="002841A3">
        <w:t>DEC-041 – Rented Equipment Classification</w:t>
      </w:r>
    </w:p>
    <w:p w14:paraId="1D768A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7B9B9F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Externally rented equipment will be acquired through the purchase-order process but will post to cost type E – Equipment.</w:t>
      </w:r>
    </w:p>
    <w:p w14:paraId="5B211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purchasing method should not determine the financial classification. Rented and owned equipment must be included together in equipment-cost reporting.</w:t>
      </w:r>
    </w:p>
    <w:p w14:paraId="4222CA13" w14:textId="77777777" w:rsidR="002841A3" w:rsidRPr="002841A3" w:rsidRDefault="002841A3" w:rsidP="002841A3">
      <w:pPr>
        <w:pStyle w:val="Heading3"/>
      </w:pPr>
      <w:r w:rsidRPr="002841A3">
        <w:t>DEC-042 – Inventory and Purchased Material Separation</w:t>
      </w:r>
    </w:p>
    <w:p w14:paraId="4BAF246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91453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and purchased materials will use separate operational and financial workflows.</w:t>
      </w:r>
    </w:p>
    <w:p w14:paraId="3BDA8F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Inventory materials post immediately using average inventory cost and reduce inventory, while purchased materials flow through purchase orders, delivery tickets, commitments, vendor invoices, and final job-cost posting.</w:t>
      </w:r>
    </w:p>
    <w:p w14:paraId="0BAC83F0" w14:textId="77777777" w:rsidR="002841A3" w:rsidRPr="002841A3" w:rsidRDefault="002841A3" w:rsidP="002841A3">
      <w:pPr>
        <w:pStyle w:val="Heading3"/>
      </w:pPr>
      <w:r w:rsidRPr="002841A3">
        <w:t>DEC-043 – Inventory Average-Cost Treatment</w:t>
      </w:r>
    </w:p>
    <w:p w14:paraId="744E50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B6D4F1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will be charged to jobs using the average inventory cost in effect when the material is issued. The applied unit cost will be retained on the transaction.</w:t>
      </w:r>
    </w:p>
    <w:p w14:paraId="2B7FB01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Average inventory cost changes over time. Preserving the applied historical cost prevents later changes from altering prior job-cost results.</w:t>
      </w:r>
    </w:p>
    <w:p w14:paraId="7A97E875" w14:textId="77777777" w:rsidR="002841A3" w:rsidRPr="002841A3" w:rsidRDefault="002841A3" w:rsidP="002841A3">
      <w:pPr>
        <w:pStyle w:val="Heading3"/>
      </w:pPr>
      <w:r w:rsidRPr="002841A3">
        <w:t>DEC-044 – Material Quantity Source Separation</w:t>
      </w:r>
    </w:p>
    <w:p w14:paraId="30BDDB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E94AF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Foreman-reported material quantities, supplier-ticket quantities, and invoiced quantities will remain separately identifiable.</w:t>
      </w:r>
    </w:p>
    <w:p w14:paraId="290FA8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Foreman quantities support same-day operational review, while supplier tickets and invoices provide more </w:t>
      </w:r>
      <w:r w:rsidRPr="002841A3">
        <w:rPr>
          <w:rFonts w:ascii="Times New Roman" w:hAnsi="Times New Roman" w:cs="Times New Roman"/>
        </w:rPr>
        <w:lastRenderedPageBreak/>
        <w:t>precise operational and financial quantities. Maintaining each value supports reconciliation and variance analysis.</w:t>
      </w:r>
    </w:p>
    <w:p w14:paraId="63E84C11" w14:textId="77777777" w:rsidR="002841A3" w:rsidRPr="002841A3" w:rsidRDefault="002841A3" w:rsidP="002841A3">
      <w:pPr>
        <w:pStyle w:val="Heading3"/>
      </w:pPr>
      <w:r w:rsidRPr="002841A3">
        <w:t>DEC-045 – Major and General Material Classification</w:t>
      </w:r>
    </w:p>
    <w:p w14:paraId="61BB0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E152C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Concrete, Asphalt, Sealer, Crackfill Rubber, and Paint will be classified as M – Major Materials. All other materials will be classified as G – General Materials.</w:t>
      </w:r>
    </w:p>
    <w:p w14:paraId="6230D27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company’s established cost structure and supports consistent material budgeting, posting, and analysis.</w:t>
      </w:r>
    </w:p>
    <w:p w14:paraId="7788065C" w14:textId="77777777" w:rsidR="002841A3" w:rsidRPr="002841A3" w:rsidRDefault="002841A3" w:rsidP="002841A3">
      <w:pPr>
        <w:pStyle w:val="Heading3"/>
      </w:pPr>
      <w:r w:rsidRPr="002841A3">
        <w:t>DEC-046 – Purchase-Order Ownership</w:t>
      </w:r>
    </w:p>
    <w:p w14:paraId="3868DF6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A50109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purchase order will belong to exactly one job and one vendor. A purchase order may contain multiple cost codes, phases, materials, services, or rental items.</w:t>
      </w:r>
    </w:p>
    <w:p w14:paraId="5C987E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one-job and one-vendor rule simplifies commitment reporting and job-cost reconciliation while allowing detailed purchasing activity within the order.</w:t>
      </w:r>
    </w:p>
    <w:p w14:paraId="50B81C23" w14:textId="77777777" w:rsidR="002841A3" w:rsidRPr="002841A3" w:rsidRDefault="002841A3" w:rsidP="002841A3">
      <w:pPr>
        <w:pStyle w:val="Heading3"/>
      </w:pPr>
      <w:r w:rsidRPr="002841A3">
        <w:t>DEC-047 – Delivery Ticket Detail</w:t>
      </w:r>
    </w:p>
    <w:p w14:paraId="421C49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236C4F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Individual supplier delivery and load tickets will be retained as separate records linked to the applicable purchase order and job-cost assignment.</w:t>
      </w:r>
    </w:p>
    <w:p w14:paraId="1A2FAF5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Ticket-level detail supports quantity reconciliation, material variance analysis, vendor invoice validation, and drill-through from summarized job cost.</w:t>
      </w:r>
    </w:p>
    <w:p w14:paraId="49F3403E" w14:textId="77777777" w:rsidR="002841A3" w:rsidRPr="002841A3" w:rsidRDefault="002841A3" w:rsidP="002841A3">
      <w:pPr>
        <w:pStyle w:val="Heading3"/>
      </w:pPr>
      <w:r w:rsidRPr="002841A3">
        <w:t>DEC-048 – Commitment Definition</w:t>
      </w:r>
    </w:p>
    <w:p w14:paraId="13F46E7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33F240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Committed cost will include all open purchase orders through the selected reporting cutoff date.</w:t>
      </w:r>
    </w:p>
    <w:p w14:paraId="4854DA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Open purchase orders represent external costs already expected for materials, subcontractors, rented equipment, and other purchased items. Cutoff-based commitment reporting is required for WIP and forecasting.</w:t>
      </w:r>
    </w:p>
    <w:p w14:paraId="302D3C70" w14:textId="77777777" w:rsidR="002841A3" w:rsidRPr="002841A3" w:rsidRDefault="002841A3" w:rsidP="002841A3">
      <w:pPr>
        <w:pStyle w:val="Heading3"/>
      </w:pPr>
      <w:r w:rsidRPr="002841A3">
        <w:t>DEC-049 – Detailed Job-Cost Transactions</w:t>
      </w:r>
    </w:p>
    <w:p w14:paraId="527473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88479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Job cost will retain individual transaction line items rather than only summarized daily, weekly, or monthly totals.</w:t>
      </w:r>
    </w:p>
    <w:p w14:paraId="6D46206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Detailed transactions are required for drill-through, auditability, reconciliation, correction tracing, and analysis of the individual items that make up total job cost.</w:t>
      </w:r>
    </w:p>
    <w:p w14:paraId="48F41101" w14:textId="77777777" w:rsidR="002841A3" w:rsidRPr="002841A3" w:rsidRDefault="002841A3" w:rsidP="002841A3">
      <w:pPr>
        <w:pStyle w:val="Heading3"/>
      </w:pPr>
      <w:r w:rsidRPr="002841A3">
        <w:t>DEC-050 – Date-Used Reporting</w:t>
      </w:r>
    </w:p>
    <w:p w14:paraId="563D31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4A58DF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Operational and job-cost analysis will use the date the labor, equipment, material, or service was used. Accounting posting dates will also be retained for processing and audit purposes.</w:t>
      </w:r>
    </w:p>
    <w:p w14:paraId="5E42D64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Using the date of activity provides accurate daily and weekly performance analysis and avoids distorting results because of delayed accounting processing.</w:t>
      </w:r>
    </w:p>
    <w:p w14:paraId="4D07C4EC" w14:textId="77777777" w:rsidR="002841A3" w:rsidRPr="002841A3" w:rsidRDefault="002841A3" w:rsidP="002841A3">
      <w:pPr>
        <w:pStyle w:val="Heading3"/>
      </w:pPr>
      <w:r w:rsidRPr="002841A3">
        <w:t>DEC-051 – Operational and Posted Cost Separation</w:t>
      </w:r>
    </w:p>
    <w:p w14:paraId="3E1A69A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652FB7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distinguish operational activity from finalized posted job cost. Entered and reviewed labor, equipment, and inventory activity may support preliminary reporting before official weekly posting.</w:t>
      </w:r>
    </w:p>
    <w:p w14:paraId="0884C92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Daily operational visibility is required before all accounting processes are complete, but preliminary activity must not be represented as finalized cost or double counted after posting.</w:t>
      </w:r>
    </w:p>
    <w:p w14:paraId="4CB8671D" w14:textId="77777777" w:rsidR="002841A3" w:rsidRPr="002841A3" w:rsidRDefault="002841A3" w:rsidP="002841A3">
      <w:pPr>
        <w:pStyle w:val="Heading3"/>
      </w:pPr>
      <w:r w:rsidRPr="002841A3">
        <w:t>DEC-052 – Reversal and Reposting</w:t>
      </w:r>
    </w:p>
    <w:p w14:paraId="5958B48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B12759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Posted job-cost errors will be corrected through reversal and reposting. Original posted transactions will not be overwritten.</w:t>
      </w:r>
    </w:p>
    <w:p w14:paraId="4E35CD7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Reversal and reposting preserve audit visibility, correction lineage, accountability, and reconciliation between original and corrected cost assignments.</w:t>
      </w:r>
    </w:p>
    <w:p w14:paraId="15225F18" w14:textId="77777777" w:rsidR="002841A3" w:rsidRPr="002841A3" w:rsidRDefault="002841A3" w:rsidP="002841A3">
      <w:pPr>
        <w:pStyle w:val="Heading3"/>
      </w:pPr>
      <w:r w:rsidRPr="002841A3">
        <w:t>DEC-053 – Customer Billing at Job Level</w:t>
      </w:r>
    </w:p>
    <w:p w14:paraId="62A6E8F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84461D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customer invoice will belong to exactly one job. Billed revenue will be measured as total job billings through the reporting cutoff date.</w:t>
      </w:r>
    </w:p>
    <w:p w14:paraId="326AABA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established billing process does not require invoices to span multiple jobs or to allocate billed revenue by cost code, phase, or cost type.</w:t>
      </w:r>
    </w:p>
    <w:p w14:paraId="6260DDA1" w14:textId="77777777" w:rsidR="002841A3" w:rsidRPr="002841A3" w:rsidRDefault="002841A3" w:rsidP="002841A3">
      <w:pPr>
        <w:pStyle w:val="Heading3"/>
      </w:pPr>
      <w:r w:rsidRPr="002841A3">
        <w:lastRenderedPageBreak/>
        <w:t>DEC-054 – WIP Calculation Method</w:t>
      </w:r>
    </w:p>
    <w:p w14:paraId="3923612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D52CBB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Work in progress will use cost-to-cost percentage complete based on actual cost to date plus open commitments divided by current adjusted budgeted cost. Percent complete and earned revenue will be capped at 100%.</w:t>
      </w:r>
    </w:p>
    <w:p w14:paraId="0C5E0E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WIP process and prevents earned revenue from exceeding revised contract revenue.</w:t>
      </w:r>
    </w:p>
    <w:p w14:paraId="38C3E723" w14:textId="77777777" w:rsidR="002841A3" w:rsidRPr="002841A3" w:rsidRDefault="002841A3" w:rsidP="002841A3">
      <w:pPr>
        <w:pStyle w:val="Heading3"/>
      </w:pPr>
      <w:r w:rsidRPr="002841A3">
        <w:t>DEC-055 – Remaining-to-Spend Entry Level</w:t>
      </w:r>
    </w:p>
    <w:p w14:paraId="4E86FE8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BDF98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Remaining to spend will initially be entered by job and cost code, with the architecture allowing future entry by phase and cost type.</w:t>
      </w:r>
    </w:p>
    <w:p w14:paraId="3BFA76B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Cost-code-level entry reflects the practical level at which project managers and superintendents are likely to estimate future costs while preserving flexibility for more detailed forecasting later.</w:t>
      </w:r>
    </w:p>
    <w:p w14:paraId="5BA3F9E7" w14:textId="77777777" w:rsidR="002841A3" w:rsidRPr="002841A3" w:rsidRDefault="002841A3" w:rsidP="002841A3">
      <w:pPr>
        <w:pStyle w:val="Heading3"/>
      </w:pPr>
      <w:r w:rsidRPr="002841A3">
        <w:t>DEC-056 – Current Forecast Only</w:t>
      </w:r>
    </w:p>
    <w:p w14:paraId="3CB704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D76C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initial solution will retain only the current job forecast and latest remaining-to-spend estimate. Formal historical forecast snapshots are outside the initial scope.</w:t>
      </w:r>
    </w:p>
    <w:p w14:paraId="550208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current forecast is sufficient for the initial business requirement and avoids unnecessary complexity during the first release.</w:t>
      </w:r>
    </w:p>
    <w:p w14:paraId="3D3ADD29" w14:textId="77777777" w:rsidR="002841A3" w:rsidRPr="002841A3" w:rsidRDefault="002841A3" w:rsidP="002841A3">
      <w:pPr>
        <w:pStyle w:val="Heading3"/>
      </w:pPr>
      <w:r w:rsidRPr="002841A3">
        <w:t>DEC-057 – Forecast Final Cost Formula</w:t>
      </w:r>
    </w:p>
    <w:p w14:paraId="16433E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CC7F89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Forecast final cost will be calculated as actual cost plus open commitments plus remaining to spend.</w:t>
      </w:r>
    </w:p>
    <w:p w14:paraId="0E999E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components distinguish posted costs, externally committed costs, and future expected costs that are not yet committed.</w:t>
      </w:r>
    </w:p>
    <w:p w14:paraId="3298B789" w14:textId="77777777" w:rsidR="002841A3" w:rsidRPr="002841A3" w:rsidRDefault="002841A3" w:rsidP="002841A3">
      <w:pPr>
        <w:pStyle w:val="Heading3"/>
      </w:pPr>
      <w:r w:rsidRPr="002841A3">
        <w:t>DEC-058 – Fade and Gain Calculation</w:t>
      </w:r>
    </w:p>
    <w:p w14:paraId="27C5CE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8AF6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Fade and gain will be calculated as adjusted budgeted cost minus actual cost.</w:t>
      </w:r>
    </w:p>
    <w:p w14:paraId="702F582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This reflects the established closed-job review method. A positive result represents gain, and a negative result represents fade.</w:t>
      </w:r>
    </w:p>
    <w:p w14:paraId="4AC05619" w14:textId="77777777" w:rsidR="002841A3" w:rsidRPr="002841A3" w:rsidRDefault="002841A3" w:rsidP="002841A3">
      <w:pPr>
        <w:pStyle w:val="Heading3"/>
      </w:pPr>
      <w:r w:rsidRPr="002841A3">
        <w:t>DEC-059 – Foreman Labor Performance</w:t>
      </w:r>
    </w:p>
    <w:p w14:paraId="4FB3D8F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19689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labor performance will compare both budgeted versus actual direct labor hours and budgeted versus actual direct labor dollars. Burden will be excluded.</w:t>
      </w:r>
    </w:p>
    <w:p w14:paraId="4735B3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Foremen influence direct labor usage and productivity, while burden is a separate cost type and is not directly controlled by the foreman.</w:t>
      </w:r>
    </w:p>
    <w:p w14:paraId="34167055" w14:textId="77777777" w:rsidR="002841A3" w:rsidRPr="002841A3" w:rsidRDefault="002841A3" w:rsidP="002841A3">
      <w:pPr>
        <w:pStyle w:val="Heading3"/>
      </w:pPr>
      <w:r w:rsidRPr="002841A3">
        <w:t>DEC-060 – Material Performance Measures</w:t>
      </w:r>
    </w:p>
    <w:p w14:paraId="5BE04C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6D4C9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Material performance will include both quantity variance and cost variance. Final purchased-material quantity will use supplier-ticket quantities, and inventory-material quantity will use inventory-issue quantities.</w:t>
      </w:r>
    </w:p>
    <w:p w14:paraId="6C37B37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Quantity and cost answer different operational and financial questions. Final analysis should use the most reliable source quantity available.</w:t>
      </w:r>
    </w:p>
    <w:p w14:paraId="2F1EA57C" w14:textId="77777777" w:rsidR="002841A3" w:rsidRPr="002841A3" w:rsidRDefault="002841A3" w:rsidP="002841A3">
      <w:pPr>
        <w:pStyle w:val="Heading3"/>
      </w:pPr>
      <w:r w:rsidRPr="002841A3">
        <w:t>DEC-061 – Complete and Closed Status Separation</w:t>
      </w:r>
    </w:p>
    <w:p w14:paraId="45BF5E9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99D7B5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Complete and Closed will remain separate job statuses. Complete indicates physical work is finished, while Closed prevents additional cost posting.</w:t>
      </w:r>
    </w:p>
    <w:p w14:paraId="099164F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Field completion and financial completion occur at different times. Costs, invoices, commitments, and final billing may still be processed after physical work is complete.</w:t>
      </w:r>
    </w:p>
    <w:p w14:paraId="56579EC0" w14:textId="77777777" w:rsidR="002841A3" w:rsidRPr="002841A3" w:rsidRDefault="002841A3" w:rsidP="002841A3">
      <w:pPr>
        <w:pStyle w:val="Heading3"/>
      </w:pPr>
      <w:r w:rsidRPr="002841A3">
        <w:t>DEC-062 – Controlled Job Reopening</w:t>
      </w:r>
    </w:p>
    <w:p w14:paraId="7A71FC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FA12C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A closed job must be formally reopened before late costs, corrections, or warranty work can be posted. Reopen and reclose activity will be retained as job lifecycle events.</w:t>
      </w:r>
    </w:p>
    <w:p w14:paraId="71AF9C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Formal reopening provides controlled, repeatable, and auditable handling of post-close activity.</w:t>
      </w:r>
    </w:p>
    <w:p w14:paraId="0FE77184" w14:textId="77777777" w:rsidR="002841A3" w:rsidRPr="002841A3" w:rsidRDefault="002841A3" w:rsidP="002841A3">
      <w:pPr>
        <w:pStyle w:val="Heading3"/>
      </w:pPr>
      <w:r w:rsidRPr="002841A3">
        <w:t>DEC-063 – Standard Cost-Code Catalog</w:t>
      </w:r>
    </w:p>
    <w:p w14:paraId="3CFA871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21CF7F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Cost codes will be standardized company-wide and will not be restricted to a particular division.</w:t>
      </w:r>
    </w:p>
    <w:p w14:paraId="5C616F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Any qualified crew may perform a cost code, and a job may contain work from multiple divisions. A company-wide catalog provides consistency across estimating, operations, and job cost.</w:t>
      </w:r>
    </w:p>
    <w:p w14:paraId="5335ADBB" w14:textId="77777777" w:rsidR="002841A3" w:rsidRPr="002841A3" w:rsidRDefault="002841A3" w:rsidP="002841A3">
      <w:pPr>
        <w:pStyle w:val="Heading3"/>
      </w:pPr>
      <w:r w:rsidRPr="002841A3">
        <w:t>DEC-064 – Valid Job Posting Combinations</w:t>
      </w:r>
    </w:p>
    <w:p w14:paraId="4D56C0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42088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Only cost codes included in the approved job budget will be available for posting to that job. Production and travel phases will be available for each active job cost code, while warranty phases will be added only when needed.</w:t>
      </w:r>
    </w:p>
    <w:p w14:paraId="3F1DFF2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Restricting posting to approved job combinations reduces miscoding and preserves alignment between the budget and actual job-cost structure.</w:t>
      </w:r>
    </w:p>
    <w:p w14:paraId="584EA1FC" w14:textId="77777777" w:rsidR="002841A3" w:rsidRPr="002841A3" w:rsidRDefault="002841A3" w:rsidP="002841A3">
      <w:pPr>
        <w:pStyle w:val="Heading3"/>
      </w:pPr>
      <w:r w:rsidRPr="002841A3">
        <w:t>DEC-065 – Standard Cost Types</w:t>
      </w:r>
    </w:p>
    <w:p w14:paraId="5BA914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1633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use seven standard cost types:</w:t>
      </w:r>
    </w:p>
    <w:p w14:paraId="6497BFB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L – Labor </w:t>
      </w:r>
    </w:p>
    <w:p w14:paraId="2CA1E888"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B – Burden </w:t>
      </w:r>
    </w:p>
    <w:p w14:paraId="5A6278AE"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G – General Materials </w:t>
      </w:r>
    </w:p>
    <w:p w14:paraId="0EBC8BCC"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M – Major Materials </w:t>
      </w:r>
    </w:p>
    <w:p w14:paraId="724BC9C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E – Equipment </w:t>
      </w:r>
    </w:p>
    <w:p w14:paraId="6087D73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S – Subcontractors </w:t>
      </w:r>
    </w:p>
    <w:p w14:paraId="56592F2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Z – Miscellaneous </w:t>
      </w:r>
    </w:p>
    <w:p w14:paraId="3673C06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categories reflect the company’s established cost structure and provide the required level of operational and financial analysis.</w:t>
      </w:r>
    </w:p>
    <w:p w14:paraId="47E06D06" w14:textId="77777777" w:rsidR="00781D08" w:rsidRPr="00082F59" w:rsidRDefault="00781D08" w:rsidP="00DC42AD">
      <w:pPr>
        <w:rPr>
          <w:rFonts w:ascii="Times New Roman" w:hAnsi="Times New Roman" w:cs="Times New Roman"/>
        </w:rPr>
      </w:pPr>
    </w:p>
    <w:p w14:paraId="194B1F12"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4. Decision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915"/>
      </w:tblGrid>
      <w:tr w:rsidR="00F04BB0" w:rsidRPr="00082F59" w14:paraId="4BCB467D" w14:textId="77777777">
        <w:trPr>
          <w:tblHeader/>
          <w:tblCellSpacing w:w="15" w:type="dxa"/>
        </w:trPr>
        <w:tc>
          <w:tcPr>
            <w:tcW w:w="0" w:type="auto"/>
            <w:vAlign w:val="center"/>
            <w:hideMark/>
          </w:tcPr>
          <w:p w14:paraId="71F3B9D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Decision</w:t>
            </w:r>
          </w:p>
        </w:tc>
        <w:tc>
          <w:tcPr>
            <w:tcW w:w="0" w:type="auto"/>
            <w:vAlign w:val="center"/>
            <w:hideMark/>
          </w:tcPr>
          <w:p w14:paraId="2E2E930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Influences</w:t>
            </w:r>
          </w:p>
        </w:tc>
      </w:tr>
      <w:tr w:rsidR="00F04BB0" w:rsidRPr="00082F59" w14:paraId="55F37BDC" w14:textId="77777777">
        <w:trPr>
          <w:tblCellSpacing w:w="15" w:type="dxa"/>
        </w:trPr>
        <w:tc>
          <w:tcPr>
            <w:tcW w:w="0" w:type="auto"/>
            <w:vAlign w:val="center"/>
            <w:hideMark/>
          </w:tcPr>
          <w:p w14:paraId="505C062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DEC-001</w:t>
            </w:r>
          </w:p>
        </w:tc>
        <w:tc>
          <w:tcPr>
            <w:tcW w:w="0" w:type="auto"/>
            <w:vAlign w:val="center"/>
            <w:hideMark/>
          </w:tcPr>
          <w:p w14:paraId="75659AE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Overall Solution Architecture</w:t>
            </w:r>
          </w:p>
        </w:tc>
      </w:tr>
      <w:tr w:rsidR="00F04BB0" w:rsidRPr="00082F59" w14:paraId="520228C1" w14:textId="77777777">
        <w:trPr>
          <w:tblCellSpacing w:w="15" w:type="dxa"/>
        </w:trPr>
        <w:tc>
          <w:tcPr>
            <w:tcW w:w="0" w:type="auto"/>
            <w:vAlign w:val="center"/>
            <w:hideMark/>
          </w:tcPr>
          <w:p w14:paraId="78E383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DEC-002</w:t>
            </w:r>
          </w:p>
        </w:tc>
        <w:tc>
          <w:tcPr>
            <w:tcW w:w="0" w:type="auto"/>
            <w:vAlign w:val="center"/>
            <w:hideMark/>
          </w:tcPr>
          <w:p w14:paraId="4B42855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Business Discovery Process</w:t>
            </w:r>
          </w:p>
        </w:tc>
      </w:tr>
      <w:tr w:rsidR="00F04BB0" w:rsidRPr="00082F59" w14:paraId="38A67232" w14:textId="77777777">
        <w:trPr>
          <w:tblCellSpacing w:w="15" w:type="dxa"/>
        </w:trPr>
        <w:tc>
          <w:tcPr>
            <w:tcW w:w="0" w:type="auto"/>
            <w:vAlign w:val="center"/>
            <w:hideMark/>
          </w:tcPr>
          <w:p w14:paraId="37E25F4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DEC-003</w:t>
            </w:r>
          </w:p>
        </w:tc>
        <w:tc>
          <w:tcPr>
            <w:tcW w:w="0" w:type="auto"/>
            <w:vAlign w:val="center"/>
            <w:hideMark/>
          </w:tcPr>
          <w:p w14:paraId="026D5D7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Database Design</w:t>
            </w:r>
          </w:p>
        </w:tc>
      </w:tr>
      <w:tr w:rsidR="00F04BB0" w:rsidRPr="00082F59" w14:paraId="12AE2795" w14:textId="77777777">
        <w:trPr>
          <w:tblCellSpacing w:w="15" w:type="dxa"/>
        </w:trPr>
        <w:tc>
          <w:tcPr>
            <w:tcW w:w="0" w:type="auto"/>
            <w:vAlign w:val="center"/>
            <w:hideMark/>
          </w:tcPr>
          <w:p w14:paraId="6477C03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DEC-004</w:t>
            </w:r>
          </w:p>
        </w:tc>
        <w:tc>
          <w:tcPr>
            <w:tcW w:w="0" w:type="auto"/>
            <w:vAlign w:val="center"/>
            <w:hideMark/>
          </w:tcPr>
          <w:p w14:paraId="61158C2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SQL Analytics Layer</w:t>
            </w:r>
          </w:p>
        </w:tc>
      </w:tr>
      <w:tr w:rsidR="00F04BB0" w:rsidRPr="00082F59" w14:paraId="19AD4C76" w14:textId="77777777">
        <w:trPr>
          <w:tblCellSpacing w:w="15" w:type="dxa"/>
        </w:trPr>
        <w:tc>
          <w:tcPr>
            <w:tcW w:w="0" w:type="auto"/>
            <w:vAlign w:val="center"/>
            <w:hideMark/>
          </w:tcPr>
          <w:p w14:paraId="3E31453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lastRenderedPageBreak/>
              <w:t>DEC-005</w:t>
            </w:r>
          </w:p>
        </w:tc>
        <w:tc>
          <w:tcPr>
            <w:tcW w:w="0" w:type="auto"/>
            <w:vAlign w:val="center"/>
            <w:hideMark/>
          </w:tcPr>
          <w:p w14:paraId="033815E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Design</w:t>
            </w:r>
          </w:p>
        </w:tc>
      </w:tr>
      <w:tr w:rsidR="00F04BB0" w:rsidRPr="00082F59" w14:paraId="78EEEB98" w14:textId="77777777">
        <w:trPr>
          <w:tblCellSpacing w:w="15" w:type="dxa"/>
        </w:trPr>
        <w:tc>
          <w:tcPr>
            <w:tcW w:w="0" w:type="auto"/>
            <w:vAlign w:val="center"/>
            <w:hideMark/>
          </w:tcPr>
          <w:p w14:paraId="285B02EB"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DEC-006</w:t>
            </w:r>
          </w:p>
        </w:tc>
        <w:tc>
          <w:tcPr>
            <w:tcW w:w="0" w:type="auto"/>
            <w:vAlign w:val="center"/>
            <w:hideMark/>
          </w:tcPr>
          <w:p w14:paraId="468BB6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Production Model</w:t>
            </w:r>
          </w:p>
        </w:tc>
      </w:tr>
      <w:tr w:rsidR="00F04BB0" w:rsidRPr="00082F59" w14:paraId="7772440C" w14:textId="77777777">
        <w:trPr>
          <w:tblCellSpacing w:w="15" w:type="dxa"/>
        </w:trPr>
        <w:tc>
          <w:tcPr>
            <w:tcW w:w="0" w:type="auto"/>
            <w:vAlign w:val="center"/>
            <w:hideMark/>
          </w:tcPr>
          <w:p w14:paraId="00D10C2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DEC-007</w:t>
            </w:r>
          </w:p>
        </w:tc>
        <w:tc>
          <w:tcPr>
            <w:tcW w:w="0" w:type="auto"/>
            <w:vAlign w:val="center"/>
            <w:hideMark/>
          </w:tcPr>
          <w:p w14:paraId="6ECADC4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 Model</w:t>
            </w:r>
          </w:p>
        </w:tc>
      </w:tr>
      <w:tr w:rsidR="00F04BB0" w:rsidRPr="00082F59" w14:paraId="52C4ADEF" w14:textId="77777777">
        <w:trPr>
          <w:tblCellSpacing w:w="15" w:type="dxa"/>
        </w:trPr>
        <w:tc>
          <w:tcPr>
            <w:tcW w:w="0" w:type="auto"/>
            <w:vAlign w:val="center"/>
            <w:hideMark/>
          </w:tcPr>
          <w:p w14:paraId="75A9701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DEC-008</w:t>
            </w:r>
          </w:p>
        </w:tc>
        <w:tc>
          <w:tcPr>
            <w:tcW w:w="0" w:type="auto"/>
            <w:vAlign w:val="center"/>
            <w:hideMark/>
          </w:tcPr>
          <w:p w14:paraId="003D828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Navigation</w:t>
            </w:r>
          </w:p>
        </w:tc>
      </w:tr>
    </w:tbl>
    <w:p w14:paraId="0D8DFA5E" w14:textId="77777777" w:rsidR="00F04BB0" w:rsidRPr="00082F59" w:rsidRDefault="00F04BB0" w:rsidP="00F04BB0">
      <w:pPr>
        <w:rPr>
          <w:rFonts w:ascii="Times New Roman" w:hAnsi="Times New Roman" w:cs="Times New Roman"/>
          <w:b/>
          <w:bCs/>
        </w:rPr>
      </w:pPr>
    </w:p>
    <w:p w14:paraId="7BC9E78F" w14:textId="6D91CDB8"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5. Future Decisions</w:t>
      </w:r>
    </w:p>
    <w:p w14:paraId="0BC549A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The following topics are expected to generate additional architectural decisions during future sprints:</w:t>
      </w:r>
    </w:p>
    <w:p w14:paraId="2AA6F99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Star Schema Design </w:t>
      </w:r>
    </w:p>
    <w:p w14:paraId="62C2B820"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Daily Activity Fact Tables </w:t>
      </w:r>
    </w:p>
    <w:p w14:paraId="631E9763"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WIP Calculation Strategy </w:t>
      </w:r>
    </w:p>
    <w:p w14:paraId="27A2A328"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Project Health Calculation </w:t>
      </w:r>
    </w:p>
    <w:p w14:paraId="255A087B"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Historical Snapshot Strategy </w:t>
      </w:r>
    </w:p>
    <w:p w14:paraId="0A040D1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Security Model </w:t>
      </w:r>
    </w:p>
    <w:p w14:paraId="5876B38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Dashboard Navigation </w:t>
      </w:r>
    </w:p>
    <w:p w14:paraId="5CD1EDC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Performance Optimization</w:t>
      </w:r>
    </w:p>
    <w:p w14:paraId="4A370950" w14:textId="77777777" w:rsidR="00580E09" w:rsidRPr="00082F59" w:rsidRDefault="00580E09">
      <w:pPr>
        <w:rPr>
          <w:rFonts w:ascii="Times New Roman" w:hAnsi="Times New Roman" w:cs="Times New Roman"/>
        </w:rPr>
      </w:pPr>
    </w:p>
    <w:sectPr w:rsidR="00580E09" w:rsidRPr="00082F59" w:rsidSect="00580E0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A00"/>
    <w:multiLevelType w:val="multilevel"/>
    <w:tmpl w:val="F646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F1684"/>
    <w:multiLevelType w:val="multilevel"/>
    <w:tmpl w:val="049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D282D"/>
    <w:multiLevelType w:val="multilevel"/>
    <w:tmpl w:val="F43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42A47"/>
    <w:multiLevelType w:val="multilevel"/>
    <w:tmpl w:val="4CB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6634B"/>
    <w:multiLevelType w:val="multilevel"/>
    <w:tmpl w:val="F17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B4BDD"/>
    <w:multiLevelType w:val="multilevel"/>
    <w:tmpl w:val="419C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853EFF"/>
    <w:multiLevelType w:val="multilevel"/>
    <w:tmpl w:val="F86E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C5FA0"/>
    <w:multiLevelType w:val="multilevel"/>
    <w:tmpl w:val="874C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142EB"/>
    <w:multiLevelType w:val="multilevel"/>
    <w:tmpl w:val="C17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5D4A3C"/>
    <w:multiLevelType w:val="multilevel"/>
    <w:tmpl w:val="3BF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470AF"/>
    <w:multiLevelType w:val="multilevel"/>
    <w:tmpl w:val="943A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89435">
    <w:abstractNumId w:val="8"/>
  </w:num>
  <w:num w:numId="2" w16cid:durableId="1372195356">
    <w:abstractNumId w:val="10"/>
  </w:num>
  <w:num w:numId="3" w16cid:durableId="331643240">
    <w:abstractNumId w:val="0"/>
  </w:num>
  <w:num w:numId="4" w16cid:durableId="1403984425">
    <w:abstractNumId w:val="6"/>
  </w:num>
  <w:num w:numId="5" w16cid:durableId="598216916">
    <w:abstractNumId w:val="9"/>
  </w:num>
  <w:num w:numId="6" w16cid:durableId="543641199">
    <w:abstractNumId w:val="5"/>
  </w:num>
  <w:num w:numId="7" w16cid:durableId="1299144552">
    <w:abstractNumId w:val="4"/>
  </w:num>
  <w:num w:numId="8" w16cid:durableId="1190801811">
    <w:abstractNumId w:val="7"/>
  </w:num>
  <w:num w:numId="9" w16cid:durableId="1998419508">
    <w:abstractNumId w:val="1"/>
  </w:num>
  <w:num w:numId="10" w16cid:durableId="390887357">
    <w:abstractNumId w:val="2"/>
  </w:num>
  <w:num w:numId="11" w16cid:durableId="791677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B4"/>
    <w:rsid w:val="00082F59"/>
    <w:rsid w:val="000E345F"/>
    <w:rsid w:val="002841A3"/>
    <w:rsid w:val="002A6CDE"/>
    <w:rsid w:val="00545849"/>
    <w:rsid w:val="00580E09"/>
    <w:rsid w:val="005A14A5"/>
    <w:rsid w:val="005F1E91"/>
    <w:rsid w:val="006C3FB4"/>
    <w:rsid w:val="006F0BBD"/>
    <w:rsid w:val="007754AD"/>
    <w:rsid w:val="00781D08"/>
    <w:rsid w:val="007C5136"/>
    <w:rsid w:val="0090643B"/>
    <w:rsid w:val="00952B93"/>
    <w:rsid w:val="00AC4919"/>
    <w:rsid w:val="00BD464F"/>
    <w:rsid w:val="00C95B59"/>
    <w:rsid w:val="00DC42AD"/>
    <w:rsid w:val="00E30E6E"/>
    <w:rsid w:val="00E7408C"/>
    <w:rsid w:val="00EA794A"/>
    <w:rsid w:val="00ED4759"/>
    <w:rsid w:val="00F04BB0"/>
    <w:rsid w:val="00F77D64"/>
    <w:rsid w:val="00FC4D54"/>
    <w:rsid w:val="00FD0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E663"/>
  <w15:chartTrackingRefBased/>
  <w15:docId w15:val="{2DCB3B95-F54F-4D29-A628-415626791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3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3F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F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F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F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3F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3F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F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F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F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B4"/>
    <w:rPr>
      <w:rFonts w:eastAsiaTheme="majorEastAsia" w:cstheme="majorBidi"/>
      <w:color w:val="272727" w:themeColor="text1" w:themeTint="D8"/>
    </w:rPr>
  </w:style>
  <w:style w:type="paragraph" w:styleId="Title">
    <w:name w:val="Title"/>
    <w:basedOn w:val="Normal"/>
    <w:next w:val="Normal"/>
    <w:link w:val="TitleChar"/>
    <w:uiPriority w:val="10"/>
    <w:qFormat/>
    <w:rsid w:val="006C3F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B4"/>
    <w:pPr>
      <w:spacing w:before="160"/>
      <w:jc w:val="center"/>
    </w:pPr>
    <w:rPr>
      <w:i/>
      <w:iCs/>
      <w:color w:val="404040" w:themeColor="text1" w:themeTint="BF"/>
    </w:rPr>
  </w:style>
  <w:style w:type="character" w:customStyle="1" w:styleId="QuoteChar">
    <w:name w:val="Quote Char"/>
    <w:basedOn w:val="DefaultParagraphFont"/>
    <w:link w:val="Quote"/>
    <w:uiPriority w:val="29"/>
    <w:rsid w:val="006C3FB4"/>
    <w:rPr>
      <w:i/>
      <w:iCs/>
      <w:color w:val="404040" w:themeColor="text1" w:themeTint="BF"/>
    </w:rPr>
  </w:style>
  <w:style w:type="paragraph" w:styleId="ListParagraph">
    <w:name w:val="List Paragraph"/>
    <w:basedOn w:val="Normal"/>
    <w:uiPriority w:val="34"/>
    <w:qFormat/>
    <w:rsid w:val="006C3FB4"/>
    <w:pPr>
      <w:ind w:left="720"/>
      <w:contextualSpacing/>
    </w:pPr>
  </w:style>
  <w:style w:type="character" w:styleId="IntenseEmphasis">
    <w:name w:val="Intense Emphasis"/>
    <w:basedOn w:val="DefaultParagraphFont"/>
    <w:uiPriority w:val="21"/>
    <w:qFormat/>
    <w:rsid w:val="006C3FB4"/>
    <w:rPr>
      <w:i/>
      <w:iCs/>
      <w:color w:val="0F4761" w:themeColor="accent1" w:themeShade="BF"/>
    </w:rPr>
  </w:style>
  <w:style w:type="paragraph" w:styleId="IntenseQuote">
    <w:name w:val="Intense Quote"/>
    <w:basedOn w:val="Normal"/>
    <w:next w:val="Normal"/>
    <w:link w:val="IntenseQuoteChar"/>
    <w:uiPriority w:val="30"/>
    <w:qFormat/>
    <w:rsid w:val="006C3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FB4"/>
    <w:rPr>
      <w:i/>
      <w:iCs/>
      <w:color w:val="0F4761" w:themeColor="accent1" w:themeShade="BF"/>
    </w:rPr>
  </w:style>
  <w:style w:type="character" w:styleId="IntenseReference">
    <w:name w:val="Intense Reference"/>
    <w:basedOn w:val="DefaultParagraphFont"/>
    <w:uiPriority w:val="32"/>
    <w:qFormat/>
    <w:rsid w:val="006C3FB4"/>
    <w:rPr>
      <w:b/>
      <w:bCs/>
      <w:smallCaps/>
      <w:color w:val="0F4761" w:themeColor="accent1" w:themeShade="BF"/>
      <w:spacing w:val="5"/>
    </w:rPr>
  </w:style>
  <w:style w:type="paragraph" w:styleId="NormalWeb">
    <w:name w:val="Normal (Web)"/>
    <w:basedOn w:val="Normal"/>
    <w:uiPriority w:val="99"/>
    <w:semiHidden/>
    <w:unhideWhenUsed/>
    <w:rsid w:val="00C95B59"/>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A14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17</Pages>
  <Words>3450</Words>
  <Characters>25224</Characters>
  <Application>Microsoft Office Word</Application>
  <DocSecurity>0</DocSecurity>
  <Lines>663</Lines>
  <Paragraphs>585</Paragraphs>
  <ScaleCrop>false</ScaleCrop>
  <Company/>
  <LinksUpToDate>false</LinksUpToDate>
  <CharactersWithSpaces>28089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Vecchione</dc:creator>
  <cp:keywords/>
  <dc:description/>
  <cp:lastModifiedBy>Mark Vecchione</cp:lastModifiedBy>
  <cp:revision>16</cp:revision>
  <dcterms:created xsi:type="dcterms:W3CDTF">2026-07-02T15:21:00Z</dcterms:created>
  <dcterms:modified xsi:type="dcterms:W3CDTF">2026-07-16T14:13:00Z</dcterms:modified>
</cp:coreProperties>
</file>