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080929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presente report si pone l'obiettivo di analizzare il Posizionamento competitivo e strutturale di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}}. L’indagine non si limita a un’istantanea statica della situazione aziendale, ma si propone di valutare la resilienza e l’efficienza operativa della società attraverso l’analisi integrata di tre dimensioni chiave, sintetizzate in nove variabili di natura reddituale, patrimoniale e di liquidità. Il confronto è integrato da un’analisi evolutiva riferita al quadriennio 2021-2024, al fine di evidenziare le dinamiche di performance e il posizionamento competitivo dell’impresa rispetto al mercato di riferimento: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26175233">
            <wp:extent cx="6690809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809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lastRenderedPageBreak/>
        <w:t>L’integrazione di queste tre componenti consente di tracciare il profilo di rischio e di performance dell’impresa rispetto ai parametri di riferimento (benchmark) del settore, nonché di definirne il posizionamento (ranking) attraverso un’analisi comparativa. Ciò fornisce all’impresa una base informativa solida a supporto dei processi decisionali e della pianificazione strategica.</w:t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operanti sul territorio nazionale.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Con riferimento ai principali parametri dimensionali, la società rientra nella categoria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D2DF8AE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6B744E">
              <w:rPr>
                <w:sz w:val="20"/>
              </w:rPr>
              <w:t>Da questo punto di vista</w:t>
            </w:r>
            <w:r w:rsidR="00206131" w:rsidRPr="00206131">
              <w:rPr>
                <w:sz w:val="20"/>
              </w:rPr>
              <w:t xml:space="preserve">, l'azienda si </w:t>
            </w:r>
            <w:r w:rsidR="006B744E">
              <w:rPr>
                <w:sz w:val="20"/>
              </w:rPr>
              <w:t>posizion</w:t>
            </w:r>
            <w:r w:rsidR="00206131" w:rsidRPr="00206131">
              <w:rPr>
                <w:sz w:val="20"/>
              </w:rPr>
              <w:t xml:space="preserve">a nel </w:t>
            </w:r>
            <w:proofErr w:type="gramStart"/>
            <w:r w:rsidR="00BC786F" w:rsidRPr="00206131">
              <w:rPr>
                <w:sz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</w:rPr>
              <w:t>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</w:t>
            </w:r>
            <w:proofErr w:type="spellEnd"/>
            <w:r w:rsidR="00BC786F" w:rsidRPr="00206131">
              <w:rPr>
                <w:sz w:val="20"/>
              </w:rPr>
              <w:t xml:space="preserve">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illustra di seguito il posizionamento di {{ ragione_sociale }} all’interno del panel di riferimento, attraverso la comparazione con le imprese operanti nel medesimo settore.</w:t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L’analisi è stata sviluppata sulla base di tre benchmark – Benchmark Economico, Benchmark Patrimoniale e Benchmark Finanziario - costruiti applicando il metodo dei terzili alle distribuzioni degli indicatori rappresentativi dei rispettivi equilibri, come descritti nella sezione Obiettivi, con riguardo all’anno 2024.</w:t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 terzili costituiscono il criterio di confronto adottato per valutare il posizionamento della società rispetto a ciascun indicatore. In funzione del valore assunto da ogni variabile e del relativo terzile di appartenenza, {{ ragione_sociale }} e le altre imprese del panel sono classificate secondo le seguenti categorie:</w:t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BB033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D4B8B8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EDEBD4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Al fine di valutare il posizionamento della società rispetto al settore di appartenenza, l’analisi confronta i risultati conseguiti da {{ ragione_sociale }} con quelli del panel di riferimento. Il confronto viene sviluppato sia in termini di benchmark (economico, patrimoniale e finanziario), sia in relazione al posizionamento assoluto della società all’interno del campione analizzato. Quest’ultimo è esaminato con riferimento sia al contesto nazionale sia a quello regionale.</w:t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C6EC153">
                <wp:simplePos x="0" y="0"/>
                <wp:positionH relativeFrom="page">
                  <wp:posOffset>4114800</wp:posOffset>
                </wp:positionH>
                <wp:positionV relativeFrom="paragraph">
                  <wp:posOffset>453390</wp:posOffset>
                </wp:positionV>
                <wp:extent cx="2933700" cy="2305050"/>
                <wp:effectExtent l="0" t="0" r="19050" b="1905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305050"/>
                          <a:chOff x="0" y="0"/>
                          <a:chExt cx="2933700" cy="1767205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767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7pt;width:231pt;height:181.5pt;z-index:-251657728;mso-wrap-distance-left:0;mso-wrap-distance-right:0;mso-position-horizontal-relative:page;mso-height-relative:margin" coordsize="29337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3A570659">
                <wp:simplePos x="0" y="0"/>
                <wp:positionH relativeFrom="page">
                  <wp:posOffset>4133850</wp:posOffset>
                </wp:positionH>
                <wp:positionV relativeFrom="paragraph">
                  <wp:posOffset>393065</wp:posOffset>
                </wp:positionV>
                <wp:extent cx="2927350" cy="2257425"/>
                <wp:effectExtent l="0" t="0" r="25400" b="28575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257425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5pt;margin-top:30.95pt;width:230.5pt;height:177.75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598B675C" w:rsidR="000D3215" w:rsidRDefault="00AD73E8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169BB557" wp14:editId="78FAC146">
                <wp:simplePos x="0" y="0"/>
                <wp:positionH relativeFrom="page">
                  <wp:posOffset>4114800</wp:posOffset>
                </wp:positionH>
                <wp:positionV relativeFrom="paragraph">
                  <wp:posOffset>381000</wp:posOffset>
                </wp:positionV>
                <wp:extent cx="2933700" cy="2266950"/>
                <wp:effectExtent l="0" t="0" r="19050" b="19050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66950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</w:t>
                              </w:r>
                              <w:proofErr w:type="gram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nace</w:t>
                              </w:r>
                              <w:proofErr w:type="spell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 conseguono un Benchmark Finanziario di classe {{ rating_fin }}. {{ ragione_sociale }} rientra in tale fascia, evidenziando un livello di equilibrio finanziario in linea con quello della maggioranza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66" style="position:absolute;left:0;text-align:left;margin-left:324pt;margin-top:30pt;width:231pt;height:178.5pt;z-index:-251659264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">
                <v:shape id="Graphic 108" o:spid="_x0000_s1067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68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</w:t>
                        </w:r>
                        <w:proofErr w:type="gram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nace</w:t>
                        </w:r>
                        <w:proofErr w:type="spell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 xml:space="preserve"> }</w:t>
                        </w:r>
                        <w:proofErr w:type="gram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 conseguono un Benchmark Finanziario di classe {{ rating_fin }}. {{ ragione_sociale }} rientra in tale fascia, evidenziando un livello di equilibrio finanziario in linea con quello della maggioranza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876E4C">
        <w:rPr>
          <w:noProof/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09534F86" wp14:editId="1FA1626D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9" style="position:absolute;left:0;text-align:left;margin-left:56.25pt;margin-top:34.25pt;width:245pt;height:201.75pt;z-index:-251657216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yIn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fOLv5DbWtF8zHjMnxJ&#10;mDY8ffXoT5XlvcnD07fZ3R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BQEyInwQMAAOMNAAAOAAAAAAAAAAAAAAAA&#10;AC4CAABkcnMvZTJvRG9jLnhtbFBLAQItABQABgAIAAAAIQAE3kS04AAAAAoBAAAPAAAAAAAAAAAA&#10;AAAAABsGAABkcnMvZG93bnJldi54bWxQSwUGAAAAAAQABADzAAAAKAcAAAAA&#10;">
                <v:shape id="Graphic 104" o:spid="_x0000_s1070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1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72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territoriale: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58DD44A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proofErr w:type="gramStart"/>
      <w:r w:rsidR="00EF44EA">
        <w:rPr>
          <w:rFonts w:ascii="Arial" w:hAnsi="Arial"/>
          <w:b/>
          <w:sz w:val="20"/>
        </w:rPr>
        <w:t xml:space="preserve">{{ </w:t>
      </w:r>
      <w:proofErr w:type="spellStart"/>
      <w:r w:rsidR="00EF44EA">
        <w:rPr>
          <w:rFonts w:ascii="Arial" w:hAnsi="Arial"/>
          <w:b/>
          <w:sz w:val="20"/>
        </w:rPr>
        <w:t>rating</w:t>
      </w:r>
      <w:proofErr w:type="gramEnd"/>
      <w:r w:rsidR="00EF44EA">
        <w:rPr>
          <w:rFonts w:ascii="Arial" w:hAnsi="Arial"/>
          <w:b/>
          <w:sz w:val="20"/>
        </w:rPr>
        <w:t>_</w:t>
      </w:r>
      <w:proofErr w:type="gramStart"/>
      <w:r w:rsidR="00EF44EA">
        <w:rPr>
          <w:rFonts w:ascii="Arial" w:hAnsi="Arial"/>
          <w:b/>
          <w:sz w:val="20"/>
        </w:rPr>
        <w:t>comb</w:t>
      </w:r>
      <w:proofErr w:type="spellEnd"/>
      <w:r w:rsidR="00EF44EA">
        <w:rPr>
          <w:rFonts w:ascii="Arial" w:hAnsi="Arial"/>
          <w:b/>
          <w:sz w:val="20"/>
        </w:rPr>
        <w:t xml:space="preserve"> }</w:t>
      </w:r>
      <w:proofErr w:type="gramEnd"/>
      <w:r w:rsidR="00EF44EA">
        <w:rPr>
          <w:rFonts w:ascii="Arial" w:hAnsi="Arial"/>
          <w:b/>
          <w:sz w:val="20"/>
        </w:rPr>
        <w:t>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 xml:space="preserve">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misura in forma percentuale il risultato lordo della gestione operativa (EBITDA) sui ricavi di vendita, indicando l'efficienza della gestione caratteristica nel generare margini operativi.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misura in forma percentuale il risultato lordo della gestione operativa (EBITDA) sui ricavi di vendita, indicando l'efficienza della gestione caratteristica nel generare margini operativi.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misura la percentuale di risultato operativo (EBIT) sui ricavi aziendali, proxy dell'efficienza nell'impiego delle risorse aziendali.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misura la percentuale di risultato operativo (EBIT) sui ricavi aziendali, proxy dell'efficienza nell'impiego delle risorse aziendali.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esprime la percentuale di utile netto rispetto ai ricavi aziendali, misurando quanta parte dei ricavi si trasforma in profitto al termine dell'intero processo di gestione.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esprime la percentuale di utile netto rispetto ai ricavi aziendali, misurando quanta parte dei ricavi si trasforma in profitto al termine dell'intero processo di gestione.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influenzate dall'evoluzione del contesto settoriale. Il quadriennio in esame è stato caratterizzato da fasi eterogenee, con andamenti non sempre lineari negli anni considerati.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{{ codice_nace }}.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tramite l'utilizzo di fonti di 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tramite l'utilizzo di fonti di 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dell’Equilibrio Patrimoniale di {{ ragione_sociale }} nel quadriennio evidenzia {{ sintesi_quadriennio_patr }}.</w:t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4CAEE64F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_str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6507F36D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4CAEE64F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_str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}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6507F36D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w:lastRenderedPageBreak/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converge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cassa,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cassa,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Osservando l'andamento storico del quadriennio 2021-2024,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15).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A livello di gestione corrente, l'azienda {{ capacita_generazione_liquidita }} (Tabella 14 e Figura 16).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17).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lastRenderedPageBreak/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18).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19).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20).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20.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la seguente priorità strategica: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68585899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</w:t>
      </w:r>
      <w:r w:rsidR="005E018E">
        <w:rPr>
          <w:sz w:val="20"/>
        </w:rPr>
        <w:t>organizzare</w:t>
      </w:r>
      <w:r>
        <w:rPr>
          <w:sz w:val="20"/>
        </w:rPr>
        <w:t xml:space="preserve">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3DAD094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</w:t>
      </w:r>
      <w:r w:rsidR="005F1D5B">
        <w:rPr>
          <w:rFonts w:ascii="Arial"/>
          <w:b/>
          <w:color w:val="002060"/>
          <w:sz w:val="20"/>
        </w:rPr>
        <w:t xml:space="preserve"> (valori mediani)</w:t>
      </w:r>
      <w:r w:rsidRPr="008A313F">
        <w:rPr>
          <w:rFonts w:ascii="Arial"/>
          <w:b/>
          <w:color w:val="002060"/>
          <w:sz w:val="20"/>
        </w:rPr>
        <w:t>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15CF39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42793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77649B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CAE060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5A1C70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1AF30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D87E6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A6F4A9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E29BF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862DF" w14:textId="77777777" w:rsidR="00445B7C" w:rsidRDefault="00445B7C">
      <w:r>
        <w:separator/>
      </w:r>
    </w:p>
  </w:endnote>
  <w:endnote w:type="continuationSeparator" w:id="0">
    <w:p w14:paraId="0F5E55BC" w14:textId="77777777" w:rsidR="00445B7C" w:rsidRDefault="00445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85C3B" w14:textId="77777777" w:rsidR="00445B7C" w:rsidRDefault="00445B7C">
      <w:r>
        <w:separator/>
      </w:r>
    </w:p>
  </w:footnote>
  <w:footnote w:type="continuationSeparator" w:id="0">
    <w:p w14:paraId="071BBA4F" w14:textId="77777777" w:rsidR="00445B7C" w:rsidRDefault="00445B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4AF"/>
    <w:rsid w:val="000555FD"/>
    <w:rsid w:val="00056A8E"/>
    <w:rsid w:val="00057765"/>
    <w:rsid w:val="0006676B"/>
    <w:rsid w:val="00067946"/>
    <w:rsid w:val="00072355"/>
    <w:rsid w:val="00073799"/>
    <w:rsid w:val="00074D28"/>
    <w:rsid w:val="00077AC7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2F1984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36F5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45B7C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18E"/>
    <w:rsid w:val="005E0B8B"/>
    <w:rsid w:val="005E3A63"/>
    <w:rsid w:val="005F1D5B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B744E"/>
    <w:rsid w:val="006C0FAC"/>
    <w:rsid w:val="006D1CED"/>
    <w:rsid w:val="006D1FC7"/>
    <w:rsid w:val="006D2C61"/>
    <w:rsid w:val="006D2D74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C1A70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346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D73E8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23E7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3B8D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4144</TotalTime>
  <Pages>43</Pages>
  <Words>4772</Words>
  <Characters>27203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39</cp:revision>
  <dcterms:created xsi:type="dcterms:W3CDTF">2026-05-31T18:36:00Z</dcterms:created>
  <dcterms:modified xsi:type="dcterms:W3CDTF">2026-08-06T20:28:00Z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