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E187A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di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}}. L’indagine non si limita a un’istantanea statica della situazione aziendale, ma si propone di valutare la resilienza e l’efficienza operativa della società attraverso l’analisi integrata di tre dimensioni chiave, sintetizzate in nove variabili di natura reddituale, patrimoniale e di liquidità. Il confronto è integrato da un’analisi evolutiva riferita al quadriennio 2021-2024, al fine di evidenziare le dinamiche di performance e il posizionamento competitivo dell’impresa rispetto al mercato di riferimento: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FA1CF2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DAB9BE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EAE907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 xml:space="preserve"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6pt;width:231pt;height:174.75pt;z-index:-251657728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 xml:space="preserve"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 xml:space="preserve"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77777777" w:rsidR="000D3215" w:rsidRDefault="00876E4C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09534F86" wp14:editId="0DC63B42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6" style="position:absolute;left:0;text-align:left;margin-left:56.25pt;margin-top:34.25pt;width:245pt;height:201.75pt;z-index:-25165158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WZD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caZfkH29aK5mPGZfiS&#10;MG14+urRnyrLe5OHp2+zuz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D0xWZDwQMAAOMNAAAOAAAAAAAAAAAAAAAA&#10;AC4CAABkcnMvZTJvRG9jLnhtbFBLAQItABQABgAIAAAAIQAE3kS04AAAAAoBAAAPAAAAAAAAAAAA&#10;AAAAABsGAABkcnMvZG93bnJldi54bWxQSwUGAAAAAAQABADzAAAAKAcAAAAA&#10;">
                <v:shape id="Graphic 104" o:spid="_x0000_s1067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6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69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}}% del campione) conseguono un Benchmark Finanziario di classe {{ rating_fin }}. {{ ragione_sociale }} rientra in tale fascia, evidenziando un livello di equilibrio finanziario in linea con quello della maggioranza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0" style="position:absolute;left:0;text-align:left;margin-left:324pt;margin-top:30.25pt;width:231pt;height:161.25pt;z-index:-251658752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">
                <v:shape id="Graphic 108" o:spid="_x0000_s107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2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 xml:space="preserve">}}% del campione) conseguono un Benchmark Finanziario di classe {{ rating_fin }}. {{ ragione_sociale }} rientra in tale fascia, evidenziando un livello di equilibrio finanziario in linea con quello della maggioranza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di redditività che misura in forma percentuale il risultato lordo della gestione operativa (EBITDA) sui ricavi di vendita, indicando l'efficienza della gestione caratteristica nel generare margini operativi.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di redditività che misura in forma percentuale il risultato lordo della gestione operativa (EBITDA) sui ricavi di vendita, indicando l'efficienza della gestione caratteristica nel generare margini operativi.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di redditività che misura la percentuale di risultato operativo (EBIT) sui ricavi aziendali, proxy dell'efficienza nell'impiego delle risorse aziendali.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di redditività che misura la percentuale di risultato operativo (EBIT) sui ricavi aziendali, proxy dell'efficienza nell'impiego delle risorse aziendali.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di redditività che esprime la percentuale di utile netto rispetto ai ricavi aziendali, misurando quanta parte dei ricavi si trasforma in profitto al termine dell'intero processo di gestione.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di redditività che esprime la percentuale di utile netto rispetto ai ricavi aziendali, misurando quanta parte dei ricavi si trasforma in profitto al termine dell'intero processo di gestione.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L'Analisi dell'Equilibrio Economico per il quadriennio evidenzia dinamiche di redditività influenzate dall'evoluzione del contesto settoriale. Il quadriennio in esame è stato caratterizzato da fasi eterogenee, con andamenti non sempre lineari negli anni considerati.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/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di solidità patrimoniale che misura la capacità di un'impresa di finanziare le proprie immobilizzazioni tramite l'utilizzo di fonti di 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di solidità patrimoniale che misura la capacità di un'impresa di finanziare le proprie immobilizzazioni tramite l'utilizzo di fonti di 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4CAEE64F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_str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6507F36D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4CAEE64F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_str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}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6507F36D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 xml:space="preserve">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w:lastRenderedPageBreak/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converge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finanziario che misura la capacità aziendale di fare fronte alle passività a breve termine utilizzando solo le attività più liquide (come cassa,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finanziario che misura la capacità aziendale di fare fronte alle passività a breve termine utilizzando solo le attività più liquide (come cassa,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lastRenderedPageBreak/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categorizzare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3DAD094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</w:t>
      </w:r>
      <w:r w:rsidR="005F1D5B">
        <w:rPr>
          <w:rFonts w:ascii="Arial"/>
          <w:b/>
          <w:color w:val="002060"/>
          <w:sz w:val="20"/>
        </w:rPr>
        <w:t xml:space="preserve"> (valori mediani)</w:t>
      </w:r>
      <w:r w:rsidRPr="008A313F">
        <w:rPr>
          <w:rFonts w:ascii="Arial"/>
          <w:b/>
          <w:color w:val="002060"/>
          <w:sz w:val="20"/>
        </w:rPr>
        <w:t>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F389B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6B0C4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7BDF0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3FC9B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21D28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D39323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9D159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223FC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85E639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C94AC" w14:textId="77777777" w:rsidR="000554AF" w:rsidRDefault="000554AF">
      <w:r>
        <w:separator/>
      </w:r>
    </w:p>
  </w:endnote>
  <w:endnote w:type="continuationSeparator" w:id="0">
    <w:p w14:paraId="457E5ACC" w14:textId="77777777" w:rsidR="000554AF" w:rsidRDefault="00055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7D945" w14:textId="77777777" w:rsidR="000554AF" w:rsidRDefault="000554AF">
      <w:r>
        <w:separator/>
      </w:r>
    </w:p>
  </w:footnote>
  <w:footnote w:type="continuationSeparator" w:id="0">
    <w:p w14:paraId="1E10E38A" w14:textId="77777777" w:rsidR="000554AF" w:rsidRDefault="00055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4AF"/>
    <w:rsid w:val="000555FD"/>
    <w:rsid w:val="00056A8E"/>
    <w:rsid w:val="00057765"/>
    <w:rsid w:val="0006676B"/>
    <w:rsid w:val="00067946"/>
    <w:rsid w:val="00072355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B8B"/>
    <w:rsid w:val="005E3A63"/>
    <w:rsid w:val="005F1D5B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C1A70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23E7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4141</TotalTime>
  <Pages>43</Pages>
  <Words>4813</Words>
  <Characters>27438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36</cp:revision>
  <dcterms:created xsi:type="dcterms:W3CDTF">2026-05-31T18:36:00Z</dcterms:created>
  <dcterms:modified xsi:type="dcterms:W3CDTF">2026-07-28T20:55:00Z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