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6"/>
          <w:szCs w:val="26"/>
        </w:rPr>
        <w:t xml:space="preserve">Sana'a University</w:t>
      </w:r>
    </w:p>
    <w:p>
      <w:pPr>
        <w:spacing w:after="60"/>
        <w:jc w:val="center"/>
      </w:pPr>
      <w:r>
        <w:rPr>
          <w:rFonts w:ascii="Calibri" w:cs="Calibri" w:eastAsia="Calibri" w:hAnsi="Calibri"/>
          <w:b/>
          <w:bCs/>
          <w:sz w:val="24"/>
          <w:szCs w:val="24"/>
        </w:rPr>
        <w:t xml:space="preserve">Faculty of Petroleum and Natural Gas Resources</w:t>
      </w:r>
    </w:p>
    <w:p>
      <w:pPr>
        <w:spacing w:after="400"/>
        <w:jc w:val="center"/>
      </w:pPr>
      <w:r>
        <w:rPr>
          <w:rFonts w:ascii="Calibri" w:cs="Calibri" w:eastAsia="Calibri" w:hAnsi="Calibri"/>
          <w:i/>
          <w:iCs/>
          <w:sz w:val="22"/>
          <w:szCs w:val="22"/>
        </w:rPr>
        <w:t xml:space="preserve">M.Sc. Thesis Proposal</w:t>
      </w:r>
    </w:p>
    <w:p>
      <w:pPr>
        <w:spacing w:after="300"/>
        <w:jc w:val="center"/>
      </w:pPr>
      <w:r>
        <w:rPr>
          <w:rFonts w:ascii="Calibri" w:cs="Calibri" w:eastAsia="Calibri" w:hAnsi="Calibri"/>
          <w:b/>
          <w:bCs/>
          <w:sz w:val="30"/>
          <w:szCs w:val="30"/>
        </w:rPr>
        <w:t xml:space="preserve">Beneficiation and Rheological Benchmarking of Alaslaf Bentonite (Yemen) for Water-Based Drilling Fluid Applications: A Response Surface Methodology Approach</w:t>
      </w:r>
    </w:p>
    <w:p>
      <w:pPr>
        <w:spacing w:after="500"/>
        <w:jc w:val="center"/>
      </w:pPr>
      <w:r>
        <w:rPr>
          <w:rFonts w:ascii="Calibri" w:cs="Calibri" w:eastAsia="Calibri" w:hAnsi="Calibri"/>
          <w:i/>
          <w:iCs/>
          <w:sz w:val="20"/>
          <w:szCs w:val="20"/>
        </w:rPr>
        <w:t xml:space="preserve">Academic Framing: Petroleum Engineering — Drilling Fluids and Applied Mineralogy</w:t>
      </w:r>
    </w:p>
    <w:p>
      <w:pPr>
        <w:spacing w:after="60"/>
        <w:jc w:val="center"/>
      </w:pPr>
      <w:r>
        <w:rPr>
          <w:rFonts w:ascii="Calibri" w:cs="Calibri" w:eastAsia="Calibri" w:hAnsi="Calibri"/>
          <w:sz w:val="22"/>
          <w:szCs w:val="22"/>
        </w:rPr>
        <w:t xml:space="preserve">Prepared by: [Student Name]</w:t>
      </w:r>
    </w:p>
    <w:p>
      <w:pPr>
        <w:spacing w:after="60"/>
        <w:jc w:val="center"/>
      </w:pPr>
      <w:r>
        <w:rPr>
          <w:rFonts w:ascii="Calibri" w:cs="Calibri" w:eastAsia="Calibri" w:hAnsi="Calibri"/>
          <w:i/>
          <w:iCs/>
          <w:sz w:val="20"/>
          <w:szCs w:val="20"/>
        </w:rPr>
        <w:t xml:space="preserve">Teaching Assistant, Faculty of Petroleum and Natural Gas Resources</w:t>
      </w:r>
    </w:p>
    <w:p>
      <w:pPr>
        <w:spacing w:after="60"/>
        <w:jc w:val="center"/>
      </w:pPr>
      <w:r>
        <w:rPr>
          <w:rFonts w:ascii="Calibri" w:cs="Calibri" w:eastAsia="Calibri" w:hAnsi="Calibri"/>
          <w:sz w:val="22"/>
          <w:szCs w:val="22"/>
        </w:rPr>
        <w:t xml:space="preserve">Supervisor: [Supervisor Name]</w:t>
      </w:r>
    </w:p>
    <w:p>
      <w:pPr>
        <w:spacing w:after="60"/>
        <w:jc w:val="center"/>
      </w:pPr>
      <w:r>
        <w:rPr>
          <w:rFonts w:ascii="Calibri" w:cs="Calibri" w:eastAsia="Calibri" w:hAnsi="Calibri"/>
          <w:sz w:val="22"/>
          <w:szCs w:val="22"/>
        </w:rPr>
        <w:t xml:space="preserve">Degree Program: M.Sc. in Petroleum Engineering</w:t>
      </w:r>
    </w:p>
    <w:p>
      <w:pPr>
        <w:spacing w:after="400"/>
        <w:jc w:val="center"/>
      </w:pPr>
      <w:r>
        <w:rPr>
          <w:rFonts w:ascii="Calibri" w:cs="Calibri" w:eastAsia="Calibri" w:hAnsi="Calibri"/>
          <w:sz w:val="22"/>
          <w:szCs w:val="22"/>
        </w:rPr>
        <w:t xml:space="preserve">Proposal — July 2026</w:t>
      </w:r>
    </w:p>
    <w:p>
      <w:r>
        <w:br w:type="page"/>
      </w:r>
    </w:p>
    <w:p>
      <w:pPr>
        <w:pStyle w:val="Heading1"/>
        <w:spacing w:after="160" w:before="360"/>
      </w:pPr>
      <w:r>
        <w:t xml:space="preserve">Table of Contents</w:t>
      </w:r>
    </w:p>
    <w:p>
      <w:pPr>
        <w:spacing w:after="160" w:line="276"/>
      </w:pPr>
      <w:r>
        <w:rPr>
          <w:rFonts w:ascii="Calibri" w:cs="Calibri" w:eastAsia="Calibri" w:hAnsi="Calibri"/>
          <w:sz w:val="22"/>
          <w:szCs w:val="22"/>
        </w:rPr>
        <w:t xml:space="preserve">1. Introduction and Background</w:t>
      </w:r>
    </w:p>
    <w:p>
      <w:pPr>
        <w:spacing w:after="160" w:line="276"/>
      </w:pPr>
      <w:r>
        <w:rPr>
          <w:rFonts w:ascii="Calibri" w:cs="Calibri" w:eastAsia="Calibri" w:hAnsi="Calibri"/>
          <w:sz w:val="22"/>
          <w:szCs w:val="22"/>
        </w:rPr>
        <w:t xml:space="preserve">2. Problem Statement</w:t>
      </w:r>
    </w:p>
    <w:p>
      <w:pPr>
        <w:spacing w:after="160" w:line="276"/>
      </w:pPr>
      <w:r>
        <w:rPr>
          <w:rFonts w:ascii="Calibri" w:cs="Calibri" w:eastAsia="Calibri" w:hAnsi="Calibri"/>
          <w:sz w:val="22"/>
          <w:szCs w:val="22"/>
        </w:rPr>
        <w:t xml:space="preserve">3. Research Objectives</w:t>
      </w:r>
    </w:p>
    <w:p>
      <w:pPr>
        <w:spacing w:after="160" w:line="276"/>
      </w:pPr>
      <w:r>
        <w:rPr>
          <w:rFonts w:ascii="Calibri" w:cs="Calibri" w:eastAsia="Calibri" w:hAnsi="Calibri"/>
          <w:sz w:val="22"/>
          <w:szCs w:val="22"/>
        </w:rPr>
        <w:t xml:space="preserve">4. Research Questions</w:t>
      </w:r>
    </w:p>
    <w:p>
      <w:pPr>
        <w:spacing w:after="160" w:line="276"/>
      </w:pPr>
      <w:r>
        <w:rPr>
          <w:rFonts w:ascii="Calibri" w:cs="Calibri" w:eastAsia="Calibri" w:hAnsi="Calibri"/>
          <w:sz w:val="22"/>
          <w:szCs w:val="22"/>
        </w:rPr>
        <w:t xml:space="preserve">5. Methodology</w:t>
      </w:r>
    </w:p>
    <w:p>
      <w:pPr>
        <w:spacing w:after="160" w:line="276"/>
      </w:pPr>
      <w:r>
        <w:rPr>
          <w:rFonts w:ascii="Calibri" w:cs="Calibri" w:eastAsia="Calibri" w:hAnsi="Calibri"/>
          <w:sz w:val="22"/>
          <w:szCs w:val="22"/>
        </w:rPr>
        <w:t xml:space="preserve">6. Expected Outcomes and Deliverables</w:t>
      </w:r>
    </w:p>
    <w:p>
      <w:pPr>
        <w:spacing w:after="160" w:line="276"/>
      </w:pPr>
      <w:r>
        <w:rPr>
          <w:rFonts w:ascii="Calibri" w:cs="Calibri" w:eastAsia="Calibri" w:hAnsi="Calibri"/>
          <w:sz w:val="22"/>
          <w:szCs w:val="22"/>
        </w:rPr>
        <w:t xml:space="preserve">7. Significance and Contribution to the Field</w:t>
      </w:r>
    </w:p>
    <w:p>
      <w:pPr>
        <w:spacing w:after="160" w:line="276"/>
      </w:pPr>
      <w:r>
        <w:rPr>
          <w:rFonts w:ascii="Calibri" w:cs="Calibri" w:eastAsia="Calibri" w:hAnsi="Calibri"/>
          <w:sz w:val="22"/>
          <w:szCs w:val="22"/>
        </w:rPr>
        <w:t xml:space="preserve">8. Economic Feasibility Summary</w:t>
      </w:r>
    </w:p>
    <w:p>
      <w:pPr>
        <w:spacing w:after="160" w:line="276"/>
      </w:pPr>
      <w:r>
        <w:rPr>
          <w:rFonts w:ascii="Calibri" w:cs="Calibri" w:eastAsia="Calibri" w:hAnsi="Calibri"/>
          <w:sz w:val="22"/>
          <w:szCs w:val="22"/>
        </w:rPr>
        <w:t xml:space="preserve">9. Tentative Timeline</w:t>
      </w:r>
    </w:p>
    <w:p>
      <w:pPr>
        <w:spacing w:after="160" w:line="276"/>
      </w:pPr>
      <w:r>
        <w:rPr>
          <w:rFonts w:ascii="Calibri" w:cs="Calibri" w:eastAsia="Calibri" w:hAnsi="Calibri"/>
          <w:sz w:val="22"/>
          <w:szCs w:val="22"/>
        </w:rPr>
        <w:t xml:space="preserve">10. Limitations and Risk Considerations</w:t>
      </w:r>
    </w:p>
    <w:p>
      <w:pPr>
        <w:spacing w:after="160" w:line="276"/>
      </w:pPr>
      <w:r>
        <w:rPr>
          <w:rFonts w:ascii="Calibri" w:cs="Calibri" w:eastAsia="Calibri" w:hAnsi="Calibri"/>
          <w:sz w:val="22"/>
          <w:szCs w:val="22"/>
        </w:rPr>
        <w:t xml:space="preserve">11. Literature Note</w:t>
      </w:r>
    </w:p>
    <w:p>
      <w:pPr>
        <w:spacing w:after="160" w:line="276"/>
      </w:pPr>
      <w:r>
        <w:rPr>
          <w:rFonts w:ascii="Calibri" w:cs="Calibri" w:eastAsia="Calibri" w:hAnsi="Calibri"/>
          <w:sz w:val="22"/>
          <w:szCs w:val="22"/>
        </w:rPr>
        <w:t xml:space="preserve">12. References</w:t>
      </w:r>
    </w:p>
    <w:p>
      <w:r>
        <w:br w:type="page"/>
      </w:r>
    </w:p>
    <w:p>
      <w:pPr>
        <w:pStyle w:val="Heading1"/>
        <w:spacing w:after="160" w:before="360"/>
      </w:pPr>
      <w:r>
        <w:t xml:space="preserve">1. Introduction and Background</w:t>
      </w:r>
    </w:p>
    <w:p>
      <w:pPr>
        <w:spacing w:after="160" w:line="276"/>
      </w:pPr>
      <w:r>
        <w:rPr>
          <w:rFonts w:ascii="Calibri" w:cs="Calibri" w:eastAsia="Calibri" w:hAnsi="Calibri"/>
          <w:sz w:val="22"/>
          <w:szCs w:val="22"/>
        </w:rPr>
        <w:t xml:space="preserve">Water-based drilling fluids (muds) rely heavily on bentonite — most commonly sodium bentonite sourced from Wyoming, USA — as the primary viscosifying and filtration-control additive. In Yemen, bentonite is almost entirely imported, exposing drilling operations to currency, customs, and supply-chain constraints that have become more acute under current economic conditions.</w:t>
      </w:r>
    </w:p>
    <w:p>
      <w:pPr>
        <w:spacing w:after="160" w:line="276"/>
      </w:pPr>
      <w:r>
        <w:rPr>
          <w:rFonts w:ascii="Calibri" w:cs="Calibri" w:eastAsia="Calibri" w:hAnsi="Calibri"/>
          <w:sz w:val="22"/>
          <w:szCs w:val="22"/>
        </w:rPr>
        <w:t xml:space="preserve">Yemen hosts a documented montmorillonite-bearing clay occurrence. Alshameri et al. (2013) characterized a natural bentonite deposit at Alaslaf, Lahij Governorate, confirming by XRD that the purified clay is composed of more than 95% montmorillonite, derived from the weathering of Triassic rhyolite-tuff-ignimbrite. Their data also show high cation exchange capacity (129.94 mmol/100 g), strong water absorption (202%), and high swelling capacity (32.5 ml/g), comparable to purified Wyoming and Tunisian reference bentonites.</w:t>
      </w:r>
    </w:p>
    <w:p>
      <w:pPr>
        <w:spacing w:after="160" w:line="276"/>
      </w:pPr>
      <w:r>
        <w:rPr>
          <w:rFonts w:ascii="Calibri" w:cs="Calibri" w:eastAsia="Calibri" w:hAnsi="Calibri"/>
          <w:sz w:val="22"/>
          <w:szCs w:val="22"/>
        </w:rPr>
        <w:t xml:space="preserve">Regional context supports the plausibility of montmorillonite occurrence elsewhere in Yemen, though with important caveats. Zaid et al. (2021) document expansive, montmorillonite-bearing volcanic soils in Taiz as a recognized geological hazard, confirming that montmorillonite-forming processes are active features of Yemen's Tertiary volcanic record — though this source cites the Alaslaf study under the author name "Aref et al. (2014)" rather than "Alshameri et al. (2013)"; this is the same paper, and the discrepancy has been reconciled by consulting the original publication directly. Ahmed (2019) infers montmorillonite at Al-Harur, Abyan, from bulk oxide chemistry rather than direct XRD confirmation; the author explicitly classifies this clay as low-grade and impurity-rich, suitable only for cement raw material, and notes it formed in an unrelated alluvial-eolian depositional environment rather than a volcanic-tuff setting. It is therefore treated here only as a cautionary secondary indicator that montmorillonitic clay is not confined to a single Yemeni locality, not as a second candidate deposit for this study.</w:t>
      </w:r>
    </w:p>
    <w:p>
      <w:pPr>
        <w:spacing w:after="160" w:line="276"/>
      </w:pPr>
      <w:r>
        <w:rPr>
          <w:rFonts w:ascii="Calibri" w:cs="Calibri" w:eastAsia="Calibri" w:hAnsi="Calibri"/>
          <w:sz w:val="22"/>
          <w:szCs w:val="22"/>
        </w:rPr>
        <w:t xml:space="preserve">Despite this documented mineralogical potential, no Yemeni clay deposit has been systematically evaluated and benchmarked as a drilling-fluid additive against commercial bentonite under API 13A/13B-1 procedures. International precedent for this exact research genre exists — most directly Khan et al. (2017), who benchmarked raw Pakistani bentonite (Jhelum and Jundola deposits) against commercial Mill Gel and improved it with xanthan gum, carboxymethyl cellulose (CMC), and starch to meet API standards — as well as comparable studies from Nigeria, Saudi Arabia, and Egypt. This research applies that same evidentiary approach to Alaslaf bentonite for the first time.</w:t>
      </w:r>
    </w:p>
    <w:p>
      <w:pPr>
        <w:spacing w:after="160" w:line="276"/>
      </w:pPr>
      <w:r>
        <w:rPr>
          <w:rFonts w:ascii="Calibri" w:cs="Calibri" w:eastAsia="Calibri" w:hAnsi="Calibri"/>
          <w:sz w:val="22"/>
          <w:szCs w:val="22"/>
        </w:rPr>
        <w:t xml:space="preserve">This research addresses that gap by combining applied mineralogy, statistically designed fluid formulation, and drilling-fluid performance benchmarking into a single, integrated study situated within Petroleum Engineering.</w:t>
      </w:r>
    </w:p>
    <w:p>
      <w:pPr>
        <w:pStyle w:val="Heading1"/>
        <w:spacing w:after="160" w:before="360"/>
      </w:pPr>
      <w:r>
        <w:t xml:space="preserve">2. Problem Statement</w:t>
      </w:r>
    </w:p>
    <w:p>
      <w:pPr>
        <w:spacing w:after="160" w:line="276"/>
      </w:pPr>
      <w:r>
        <w:rPr>
          <w:rFonts w:ascii="Calibri" w:cs="Calibri" w:eastAsia="Calibri" w:hAnsi="Calibri"/>
          <w:sz w:val="22"/>
          <w:szCs w:val="22"/>
        </w:rPr>
        <w:t xml:space="preserve">Water-based drilling fluids used in Yemen depend entirely on an imported additive — commercial bentonite — whose local substitution has not been investigated. A documented, XRD-confirmed montmorillonite deposit exists at Alaslaf, Lahij Governorate, but its natural form has not been evaluated against API standards, nor has its cation chemistry (Na versus Ca dominance) been assessed for the beneficiation route this would require.</w:t>
      </w:r>
    </w:p>
    <w:p>
      <w:pPr>
        <w:spacing w:after="160" w:line="276"/>
      </w:pPr>
      <w:r>
        <w:rPr>
          <w:rFonts w:ascii="Calibri" w:cs="Calibri" w:eastAsia="Calibri" w:hAnsi="Calibri"/>
          <w:sz w:val="22"/>
          <w:szCs w:val="22"/>
        </w:rPr>
        <w:t xml:space="preserve">There is therefore a practical and scientific need to determine whether Alaslaf bentonite can: (a) perform adequately as a viscosifying and filtration-control additive in its raw form; (b) be brought to API 13A-equivalent performance through sodium activation and/or polymer beneficiation if the raw clay falls short; and (c) do so at a formulation cost and complexity that makes it a credible substitute for imported Wyoming bentonite.</w:t>
      </w:r>
    </w:p>
    <w:p>
      <w:pPr>
        <w:pStyle w:val="Heading1"/>
        <w:spacing w:after="160" w:before="360"/>
      </w:pPr>
      <w:r>
        <w:t xml:space="preserve">3. Research Objectives</w:t>
      </w:r>
    </w:p>
    <w:p>
      <w:pPr>
        <w:pStyle w:val="Heading2"/>
        <w:spacing w:after="120" w:before="240"/>
      </w:pPr>
      <w:r>
        <w:t xml:space="preserve">General Objective</w:t>
      </w:r>
    </w:p>
    <w:p>
      <w:pPr>
        <w:spacing w:after="160" w:line="276"/>
      </w:pPr>
      <w:r>
        <w:rPr>
          <w:rFonts w:ascii="Calibri" w:cs="Calibri" w:eastAsia="Calibri" w:hAnsi="Calibri"/>
          <w:sz w:val="22"/>
          <w:szCs w:val="22"/>
        </w:rPr>
        <w:t xml:space="preserve">To characterize Alaslaf Bentonite from Lahij Governorate, Yemen, and evaluate its performance as a substitute for commercial Wyoming bentonite in water-based drilling fluid formulations, benchmarked against bentonite-based systems and evaluated against American Petroleum Institute (API 13A) drilling-fluid specifications.</w:t>
      </w:r>
    </w:p>
    <w:p>
      <w:pPr>
        <w:pStyle w:val="Heading2"/>
        <w:spacing w:after="120" w:before="240"/>
      </w:pPr>
      <w:r>
        <w:t xml:space="preserve">Specific Objectives</w:t>
      </w:r>
    </w:p>
    <w:p>
      <w:pPr>
        <w:pStyle w:val="ListParagraph"/>
        <w:numPr>
          <w:ilvl w:val="0"/>
          <w:numId w:val="1"/>
        </w:numPr>
        <w:spacing w:after="100" w:line="276"/>
        <w:rPr>
          <w:rFonts w:ascii="Calibri" w:cs="Calibri" w:eastAsia="Calibri" w:hAnsi="Calibri"/>
          <w:sz w:val="22"/>
          <w:szCs w:val="22"/>
        </w:rPr>
      </w:pPr>
      <w:r>
        <w:t xml:space="preserve">Determine the mineralogical, physicochemical, and physical properties of Alaslaf Bentonite (clay mineralogy via XRD, cation exchange capacity, Na/Ca ratio via XRF, swelling index, Atterberg limits/plasticity, particle size distribution).</w:t>
      </w:r>
    </w:p>
    <w:p>
      <w:pPr>
        <w:pStyle w:val="ListParagraph"/>
        <w:numPr>
          <w:ilvl w:val="0"/>
          <w:numId w:val="1"/>
        </w:numPr>
        <w:spacing w:after="100" w:line="276"/>
        <w:rPr>
          <w:rFonts w:ascii="Calibri" w:cs="Calibri" w:eastAsia="Calibri" w:hAnsi="Calibri"/>
          <w:sz w:val="22"/>
          <w:szCs w:val="22"/>
        </w:rPr>
      </w:pPr>
      <w:r>
        <w:t xml:space="preserve">Design and optimize water-based drilling fluid formulations incorporating Alaslaf Bentonite concentration, sodium carbonate (Na2CO3) activation dosage, and a supporting polymer (CMC) as the three factors of a Box-Behnken Response Surface Methodology (RSM) design, with commercial Wyoming bentonite-based formulations as the benchmark.</w:t>
      </w:r>
    </w:p>
    <w:p>
      <w:pPr>
        <w:pStyle w:val="ListParagraph"/>
        <w:numPr>
          <w:ilvl w:val="0"/>
          <w:numId w:val="1"/>
        </w:numPr>
        <w:spacing w:after="100" w:line="276"/>
        <w:rPr>
          <w:rFonts w:ascii="Calibri" w:cs="Calibri" w:eastAsia="Calibri" w:hAnsi="Calibri"/>
          <w:sz w:val="22"/>
          <w:szCs w:val="22"/>
        </w:rPr>
      </w:pPr>
      <w:r>
        <w:t xml:space="preserve">Evaluate and compare the rheological (PV, YP, AV, gel strength) and filtration (API fluid loss) properties of the optimized Alaslaf-clay formulations against the bentonite benchmark, and against API 13A minimum specifications.</w:t>
      </w:r>
    </w:p>
    <w:p>
      <w:pPr>
        <w:pStyle w:val="ListParagraph"/>
        <w:numPr>
          <w:ilvl w:val="0"/>
          <w:numId w:val="1"/>
        </w:numPr>
        <w:spacing w:after="100" w:line="276"/>
        <w:rPr>
          <w:rFonts w:ascii="Calibri" w:cs="Calibri" w:eastAsia="Calibri" w:hAnsi="Calibri"/>
          <w:sz w:val="22"/>
          <w:szCs w:val="22"/>
        </w:rPr>
      </w:pPr>
      <w:r>
        <w:t xml:space="preserve">Apply and evaluate the sodium-activation (soda ash) treatment identified as necessary by the Phase 1 cation-chemistry go/no-go check, confirming its effect via XRD basal-spacing shift and rheological improvement.</w:t>
      </w:r>
    </w:p>
    <w:p>
      <w:pPr>
        <w:pStyle w:val="ListParagraph"/>
        <w:numPr>
          <w:ilvl w:val="0"/>
          <w:numId w:val="1"/>
        </w:numPr>
        <w:spacing w:after="100" w:line="276"/>
        <w:rPr>
          <w:rFonts w:ascii="Calibri" w:cs="Calibri" w:eastAsia="Calibri" w:hAnsi="Calibri"/>
          <w:sz w:val="22"/>
          <w:szCs w:val="22"/>
        </w:rPr>
      </w:pPr>
      <w:r>
        <w:t xml:space="preserve">Statistically compare (t-test/ANOVA) the optimized, activated formulation against the commercial bentonite benchmark and against API standard requirements.</w:t>
      </w:r>
    </w:p>
    <w:p>
      <w:pPr>
        <w:pStyle w:val="Heading1"/>
        <w:spacing w:after="160" w:before="360"/>
      </w:pPr>
      <w:r>
        <w:t xml:space="preserve">4. Research Questions</w:t>
      </w:r>
    </w:p>
    <w:p>
      <w:pPr>
        <w:pStyle w:val="ListParagraph"/>
        <w:numPr>
          <w:ilvl w:val="0"/>
          <w:numId w:val="1"/>
        </w:numPr>
        <w:spacing w:after="100" w:line="276"/>
        <w:rPr>
          <w:rFonts w:ascii="Calibri" w:cs="Calibri" w:eastAsia="Calibri" w:hAnsi="Calibri"/>
          <w:sz w:val="22"/>
          <w:szCs w:val="22"/>
        </w:rPr>
      </w:pPr>
      <w:r>
        <w:t xml:space="preserve">What is the clay mineralogy, cation chemistry (Na versus Ca dominance), and physicochemical character of Alaslaf Bentonite, and how does it compare to commercial Wyoming bentonite?</w:t>
      </w:r>
    </w:p>
    <w:p>
      <w:pPr>
        <w:pStyle w:val="ListParagraph"/>
        <w:numPr>
          <w:ilvl w:val="0"/>
          <w:numId w:val="1"/>
        </w:numPr>
        <w:spacing w:after="100" w:line="276"/>
        <w:rPr>
          <w:rFonts w:ascii="Calibri" w:cs="Calibri" w:eastAsia="Calibri" w:hAnsi="Calibri"/>
          <w:sz w:val="22"/>
          <w:szCs w:val="22"/>
        </w:rPr>
      </w:pPr>
      <w:r>
        <w:t xml:space="preserve">Can a water-based mud formulated with raw Alaslaf Bentonite achieve rheological and filtration performance comparable to a bentonite-based system and to API 13A requirements?</w:t>
      </w:r>
    </w:p>
    <w:p>
      <w:pPr>
        <w:pStyle w:val="ListParagraph"/>
        <w:numPr>
          <w:ilvl w:val="0"/>
          <w:numId w:val="1"/>
        </w:numPr>
        <w:spacing w:after="100" w:line="276"/>
        <w:rPr>
          <w:rFonts w:ascii="Calibri" w:cs="Calibri" w:eastAsia="Calibri" w:hAnsi="Calibri"/>
          <w:sz w:val="22"/>
          <w:szCs w:val="22"/>
        </w:rPr>
      </w:pPr>
      <w:r>
        <w:t xml:space="preserve">What combination of Alaslaf Bentonite concentration, Na2CO3 dosage, and CMC concentration yields the best-performing formulation, as identified through RSM?</w:t>
      </w:r>
    </w:p>
    <w:p>
      <w:pPr>
        <w:pStyle w:val="ListParagraph"/>
        <w:numPr>
          <w:ilvl w:val="0"/>
          <w:numId w:val="1"/>
        </w:numPr>
        <w:spacing w:after="100" w:line="276"/>
        <w:rPr>
          <w:rFonts w:ascii="Calibri" w:cs="Calibri" w:eastAsia="Calibri" w:hAnsi="Calibri"/>
          <w:sz w:val="22"/>
          <w:szCs w:val="22"/>
        </w:rPr>
      </w:pPr>
      <w:r>
        <w:t xml:space="preserve">If the raw clay underperforms, does sodium activation close the gap to API-equivalent performance, and by how much?</w:t>
      </w:r>
    </w:p>
    <w:p>
      <w:pPr>
        <w:pStyle w:val="Heading1"/>
        <w:spacing w:after="160" w:before="360"/>
      </w:pPr>
      <w:r>
        <w:t xml:space="preserve">5. Methodology</w:t>
      </w:r>
    </w:p>
    <w:p>
      <w:pPr>
        <w:pStyle w:val="Heading2"/>
        <w:spacing w:after="120" w:before="240"/>
      </w:pPr>
      <w:r>
        <w:t xml:space="preserve">5.1 Materials and Equipment</w:t>
      </w:r>
    </w:p>
    <w:p>
      <w:pPr>
        <w:pStyle w:val="ListParagraph"/>
        <w:numPr>
          <w:ilvl w:val="0"/>
          <w:numId w:val="1"/>
        </w:numPr>
        <w:spacing w:after="100" w:line="276"/>
        <w:rPr>
          <w:rFonts w:ascii="Calibri" w:cs="Calibri" w:eastAsia="Calibri" w:hAnsi="Calibri"/>
          <w:sz w:val="22"/>
          <w:szCs w:val="22"/>
        </w:rPr>
      </w:pPr>
      <w:r>
        <w:t xml:space="preserve">Alaslaf Bentonite clay, sampled from the same locality reported by Alshameri et al. (2013), with direct field guidance from the original author, a faculty member at the Faculty of Petroleum and Natural Gas Resources, Sana'a University.</w:t>
      </w:r>
    </w:p>
    <w:p>
      <w:pPr>
        <w:pStyle w:val="ListParagraph"/>
        <w:numPr>
          <w:ilvl w:val="0"/>
          <w:numId w:val="1"/>
        </w:numPr>
        <w:spacing w:after="100" w:line="276"/>
        <w:rPr>
          <w:rFonts w:ascii="Calibri" w:cs="Calibri" w:eastAsia="Calibri" w:hAnsi="Calibri"/>
          <w:sz w:val="22"/>
          <w:szCs w:val="22"/>
        </w:rPr>
      </w:pPr>
      <w:r>
        <w:t xml:space="preserve">Commercial Wyoming bentonite (reference/control).</w:t>
      </w:r>
    </w:p>
    <w:p>
      <w:pPr>
        <w:pStyle w:val="ListParagraph"/>
        <w:numPr>
          <w:ilvl w:val="0"/>
          <w:numId w:val="1"/>
        </w:numPr>
        <w:spacing w:after="100" w:line="276"/>
        <w:rPr>
          <w:rFonts w:ascii="Calibri" w:cs="Calibri" w:eastAsia="Calibri" w:hAnsi="Calibri"/>
          <w:sz w:val="22"/>
          <w:szCs w:val="22"/>
        </w:rPr>
      </w:pPr>
      <w:r>
        <w:t xml:space="preserve">Sodium carbonate (Na2CO3, soda ash) for activation trials, and carboxymethyl cellulose (CMC) for filtration control — the three formulation factors alongside clay concentration.</w:t>
      </w:r>
    </w:p>
    <w:p>
      <w:pPr>
        <w:pStyle w:val="ListParagraph"/>
        <w:numPr>
          <w:ilvl w:val="0"/>
          <w:numId w:val="1"/>
        </w:numPr>
        <w:spacing w:after="100" w:line="276"/>
        <w:rPr>
          <w:rFonts w:ascii="Calibri" w:cs="Calibri" w:eastAsia="Calibri" w:hAnsi="Calibri"/>
          <w:sz w:val="22"/>
          <w:szCs w:val="22"/>
        </w:rPr>
      </w:pPr>
      <w:r>
        <w:t xml:space="preserve">Fann 35 (six-speed) rotational viscometer, API filter press, and mud balance — access confirmed via the Faculty of Petroleum and Natural Gas Resources rheology laboratory, where the candidate holds a Teaching Assistant appointment.</w:t>
      </w:r>
    </w:p>
    <w:p>
      <w:pPr>
        <w:pStyle w:val="ListParagraph"/>
        <w:numPr>
          <w:ilvl w:val="0"/>
          <w:numId w:val="1"/>
        </w:numPr>
        <w:spacing w:after="100" w:line="276"/>
        <w:rPr>
          <w:rFonts w:ascii="Calibri" w:cs="Calibri" w:eastAsia="Calibri" w:hAnsi="Calibri"/>
          <w:sz w:val="22"/>
          <w:szCs w:val="22"/>
        </w:rPr>
      </w:pPr>
      <w:r>
        <w:t xml:space="preserve">Particle size set (sieve/hydrometer), Atterberg limits apparatus, methylene blue/CEC test kit.</w:t>
      </w:r>
    </w:p>
    <w:p>
      <w:pPr>
        <w:pStyle w:val="ListParagraph"/>
        <w:numPr>
          <w:ilvl w:val="0"/>
          <w:numId w:val="1"/>
        </w:numPr>
        <w:spacing w:after="100" w:line="276"/>
        <w:rPr>
          <w:rFonts w:ascii="Calibri" w:cs="Calibri" w:eastAsia="Calibri" w:hAnsi="Calibri"/>
          <w:sz w:val="22"/>
          <w:szCs w:val="22"/>
        </w:rPr>
      </w:pPr>
      <w:r>
        <w:t xml:space="preserve">XRD, XRF, and CEC analysis: availability within the Faculty to be confirmed during Phase 0; if unavailable in-house, samples will be sent to an external laboratory (to be named once confirmed), with cost and turnaround documented at that time.</w:t>
      </w:r>
    </w:p>
    <w:p>
      <w:pPr>
        <w:pStyle w:val="ListParagraph"/>
        <w:numPr>
          <w:ilvl w:val="0"/>
          <w:numId w:val="1"/>
        </w:numPr>
        <w:spacing w:after="100" w:line="276"/>
        <w:rPr>
          <w:rFonts w:ascii="Calibri" w:cs="Calibri" w:eastAsia="Calibri" w:hAnsi="Calibri"/>
          <w:sz w:val="22"/>
          <w:szCs w:val="22"/>
        </w:rPr>
      </w:pPr>
      <w:r>
        <w:t xml:space="preserve">Software: Minitab (DOE/RSM) and Python (data analysis and independent cross-validation of the RSM fit).</w:t>
      </w:r>
    </w:p>
    <w:p>
      <w:pPr>
        <w:pStyle w:val="ListParagraph"/>
        <w:numPr>
          <w:ilvl w:val="0"/>
          <w:numId w:val="1"/>
        </w:numPr>
        <w:spacing w:after="100" w:line="276"/>
        <w:rPr>
          <w:rFonts w:ascii="Calibri" w:cs="Calibri" w:eastAsia="Calibri" w:hAnsi="Calibri"/>
          <w:sz w:val="22"/>
          <w:szCs w:val="22"/>
        </w:rPr>
      </w:pPr>
      <w:r>
        <w:t xml:space="preserve">Roller oven / thermal aging equipment: not available. Thermal-aging and HPHT testing are explicitly excluded from this study's scope (see Section 10).</w:t>
      </w:r>
    </w:p>
    <w:p>
      <w:pPr>
        <w:pStyle w:val="Heading2"/>
        <w:spacing w:after="120" w:before="240"/>
      </w:pPr>
      <w:r>
        <w:t xml:space="preserve">5.2 Phase 0 — Feasibility Confirmation (Weeks 1–4)</w:t>
      </w:r>
    </w:p>
    <w:p>
      <w:pPr>
        <w:spacing w:after="160" w:line="276"/>
      </w:pPr>
      <w:r>
        <w:rPr>
          <w:rFonts w:ascii="Calibri" w:cs="Calibri" w:eastAsia="Calibri" w:hAnsi="Calibri"/>
          <w:sz w:val="22"/>
          <w:szCs w:val="22"/>
        </w:rPr>
        <w:t xml:space="preserve">Before fieldwork begins, two items will be confirmed and documented: (i) the exact sampling coordinates for this study, verified against the Alshameri et al. (2013) locality with the direct assistance of the original author; and (ii) whether XRD, XRF, and CEC analysis are available in-house at the Faculty of Petroleum and Natural Gas Resources or must be outsourced, with an external laboratory identified and costed if required. This phase converts assumptions carried over from the literature into confirmed, documented facts before any sample is collected.</w:t>
      </w:r>
    </w:p>
    <w:p>
      <w:pPr>
        <w:pStyle w:val="Heading2"/>
        <w:spacing w:after="120" w:before="240"/>
      </w:pPr>
      <w:r>
        <w:t xml:space="preserve">5.3 Phase 1 — Sample Collection and Mineralogical Characterization</w:t>
      </w:r>
    </w:p>
    <w:p>
      <w:pPr>
        <w:spacing w:after="160" w:line="276"/>
      </w:pPr>
      <w:r>
        <w:rPr>
          <w:rFonts w:ascii="Calibri" w:cs="Calibri" w:eastAsia="Calibri" w:hAnsi="Calibri"/>
          <w:sz w:val="22"/>
          <w:szCs w:val="22"/>
        </w:rPr>
        <w:t xml:space="preserve">Clay samples will be collected from the confirmed Alaslaf locality in coordination with the Department of Earth Sciences. Material will be characterized for clay mineral type (XRD), cation exchange capacity, full oxide chemistry (XRF: SiO2, Al2O3, Fe2O3, CaO, MgO, Na2O, K2O, LOI), particle size distribution, Atterberg limits, and specific gravity. XRF data will be used to compute the Na/Ca and (Na+K)/(Ca+Mg) mass ratios following the classification approach of Khan et al. (2017).</w:t>
      </w:r>
    </w:p>
    <w:p>
      <w:pPr>
        <w:spacing w:after="160" w:line="276"/>
      </w:pPr>
      <w:r>
        <w:rPr>
          <w:rFonts w:ascii="Calibri" w:cs="Calibri" w:eastAsia="Calibri" w:hAnsi="Calibri"/>
          <w:b/>
          <w:bCs/>
          <w:sz w:val="22"/>
          <w:szCs w:val="22"/>
        </w:rPr>
        <w:t xml:space="preserve">Go/no-go threshold: </w:t>
      </w:r>
      <w:r>
        <w:rPr>
          <w:rFonts w:ascii="Calibri" w:cs="Calibri" w:eastAsia="Calibri" w:hAnsi="Calibri"/>
          <w:sz w:val="22"/>
          <w:szCs w:val="22"/>
        </w:rPr>
        <w:t xml:space="preserve">if the Na/Ca mass ratio is below 0.5, the clay is classified as Ca- or mixed-cation dominant, and a sodium-activation (Na2CO3) treatment is triggered ahead of Phase 2, at trial dosages of 2–6% by weight (range to be refined against the literature), with its effect verified via XRD basal-spacing shift and CEC change before DOE formulation testing begins.</w:t>
      </w:r>
    </w:p>
    <w:p>
      <w:pPr>
        <w:pStyle w:val="Heading2"/>
        <w:spacing w:after="120" w:before="240"/>
      </w:pPr>
      <w:r>
        <w:t xml:space="preserve">5.4 Phase 2 — DOE-Based Formulation Design</w:t>
      </w:r>
    </w:p>
    <w:p>
      <w:pPr>
        <w:spacing w:after="160" w:line="276"/>
      </w:pPr>
      <w:r>
        <w:rPr>
          <w:rFonts w:ascii="Calibri" w:cs="Calibri" w:eastAsia="Calibri" w:hAnsi="Calibri"/>
          <w:sz w:val="22"/>
          <w:szCs w:val="22"/>
        </w:rPr>
        <w:t xml:space="preserve">Formulation design uses a three-factor Box-Behnken Response Surface Methodology design in Minitab, with Alaslaf Bentonite concentration, Na2CO3 activation dosage, and CMC concentration as the three factors. The design comprises 12 edge-midpoint runs plus 3 center-point replicates (run in duplicate for an estimate of measurement error and the RSM lack-of-fit test), for 15 total experimental formulations. A reference set of commercial Wyoming bentonite formulations, and a Mill Gel-equivalent benchmark consistent with Khan et al. (2017), will be prepared in parallel at matched target density.</w:t>
      </w:r>
    </w:p>
    <w:p>
      <w:pPr>
        <w:spacing w:after="160" w:line="276"/>
      </w:pPr>
      <w:r>
        <w:rPr>
          <w:rFonts w:ascii="Calibri" w:cs="Calibri" w:eastAsia="Calibri" w:hAnsi="Calibri"/>
          <w:sz w:val="22"/>
          <w:szCs w:val="22"/>
        </w:rPr>
        <w:t xml:space="preserve">Each formulation's rheological and filtration measurements will be conducted in triplicate and reported as mean ± standard deviation, consistent with the protocol used by Khan et al. (2017), to provide a basis for assessing measurement variability independent of the DOE lack-of-fit test.</w:t>
      </w:r>
    </w:p>
    <w:p>
      <w:pPr>
        <w:pStyle w:val="Heading2"/>
        <w:spacing w:after="120" w:before="240"/>
      </w:pPr>
      <w:r>
        <w:t xml:space="preserve">5.5 Phase 3 — Rheological and Filtration Benchmarking</w:t>
      </w:r>
    </w:p>
    <w:p>
      <w:pPr>
        <w:spacing w:after="160" w:line="276"/>
      </w:pPr>
      <w:r>
        <w:rPr>
          <w:rFonts w:ascii="Calibri" w:cs="Calibri" w:eastAsia="Calibri" w:hAnsi="Calibri"/>
          <w:sz w:val="22"/>
          <w:szCs w:val="22"/>
        </w:rPr>
        <w:t xml:space="preserve">Each formulation will be tested with the Fann 35 viscometer (600, 300, 200, 100, 6, and 3 rpm readings) to compute plastic viscosity (PV), yield point (YP), apparent viscosity (AV), and 10-second/10-minute gel strength. API filter press measurements will provide fluid-loss volume, and the mud balance will confirm density and pH.</w:t>
      </w:r>
    </w:p>
    <w:p>
      <w:pPr>
        <w:spacing w:after="160" w:line="276"/>
      </w:pPr>
      <w:r>
        <w:rPr>
          <w:rFonts w:ascii="Calibri" w:cs="Calibri" w:eastAsia="Calibri" w:hAnsi="Calibri"/>
          <w:sz w:val="22"/>
          <w:szCs w:val="22"/>
        </w:rPr>
        <w:t xml:space="preserve">Table 1 summarizes the API 13A/13B-1 target values against which every formulation will be evaluated.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1600"/>
      </w:tblGrid>
      <w:tr>
        <w:trPr>
          <w:tblHeader/>
        </w:trPr>
        <w:tc>
          <w:tcPr>
            <w:tcW w:type="dxa" w:w="2600"/>
            <w:shd w:fill="1F4E79" w:val="clear"/>
            <w:vAlign w:val="center"/>
          </w:tcPr>
          <w:p>
            <w:r>
              <w:rPr>
                <w:rFonts w:ascii="Calibri" w:cs="Calibri" w:eastAsia="Calibri" w:hAnsi="Calibri"/>
                <w:b/>
                <w:bCs/>
                <w:color w:val="FFFFFF"/>
                <w:sz w:val="20"/>
                <w:szCs w:val="20"/>
              </w:rPr>
              <w:t xml:space="preserve">Property</w:t>
            </w:r>
          </w:p>
        </w:tc>
        <w:tc>
          <w:tcPr>
            <w:tcW w:type="dxa" w:w="2200"/>
            <w:shd w:fill="1F4E79" w:val="clear"/>
            <w:vAlign w:val="center"/>
          </w:tcPr>
          <w:p>
            <w:r>
              <w:rPr>
                <w:rFonts w:ascii="Calibri" w:cs="Calibri" w:eastAsia="Calibri" w:hAnsi="Calibri"/>
                <w:b/>
                <w:bCs/>
                <w:color w:val="FFFFFF"/>
                <w:sz w:val="20"/>
                <w:szCs w:val="20"/>
              </w:rPr>
              <w:t xml:space="preserve">Test Method</w:t>
            </w:r>
          </w:p>
        </w:tc>
        <w:tc>
          <w:tcPr>
            <w:tcW w:type="dxa" w:w="2600"/>
            <w:shd w:fill="1F4E79" w:val="clear"/>
            <w:vAlign w:val="center"/>
          </w:tcPr>
          <w:p>
            <w:r>
              <w:rPr>
                <w:rFonts w:ascii="Calibri" w:cs="Calibri" w:eastAsia="Calibri" w:hAnsi="Calibri"/>
                <w:b/>
                <w:bCs/>
                <w:color w:val="FFFFFF"/>
                <w:sz w:val="20"/>
                <w:szCs w:val="20"/>
              </w:rPr>
              <w:t xml:space="preserve">API 13A / 13B-1 Target</w:t>
            </w:r>
          </w:p>
        </w:tc>
        <w:tc>
          <w:tcPr>
            <w:tcW w:type="dxa" w:w="1600"/>
            <w:shd w:fill="1F4E79" w:val="clear"/>
            <w:vAlign w:val="center"/>
          </w:tcPr>
          <w:p>
            <w:r>
              <w:rPr>
                <w:rFonts w:ascii="Calibri" w:cs="Calibri" w:eastAsia="Calibri" w:hAnsi="Calibri"/>
                <w:b/>
                <w:bCs/>
                <w:color w:val="FFFFFF"/>
                <w:sz w:val="20"/>
                <w:szCs w:val="20"/>
              </w:rPr>
              <w:t xml:space="preserve">Reported As</w:t>
            </w:r>
          </w:p>
        </w:tc>
      </w:tr>
      <w:tr>
        <w:tc>
          <w:tcPr>
            <w:tcW w:type="dxa" w:w="2600"/>
            <w:vAlign w:val="center"/>
          </w:tcPr>
          <w:p>
            <w:r>
              <w:rPr>
                <w:rFonts w:ascii="Calibri" w:cs="Calibri" w:eastAsia="Calibri" w:hAnsi="Calibri"/>
                <w:b w:val="false"/>
                <w:bCs w:val="false"/>
                <w:sz w:val="20"/>
                <w:szCs w:val="20"/>
              </w:rPr>
              <w:t xml:space="preserve">Plastic Viscosity (PV)</w:t>
            </w:r>
          </w:p>
        </w:tc>
        <w:tc>
          <w:tcPr>
            <w:tcW w:type="dxa" w:w="2200"/>
            <w:vAlign w:val="center"/>
          </w:tcPr>
          <w:p>
            <w:r>
              <w:rPr>
                <w:rFonts w:ascii="Calibri" w:cs="Calibri" w:eastAsia="Calibri" w:hAnsi="Calibri"/>
                <w:b w:val="false"/>
                <w:bCs w:val="false"/>
                <w:sz w:val="20"/>
                <w:szCs w:val="20"/>
              </w:rPr>
              <w:t xml:space="preserve">Fann 35, 600/300 rpm</w:t>
            </w:r>
          </w:p>
        </w:tc>
        <w:tc>
          <w:tcPr>
            <w:tcW w:type="dxa" w:w="2600"/>
            <w:vAlign w:val="center"/>
          </w:tcPr>
          <w:p>
            <w:r>
              <w:rPr>
                <w:rFonts w:ascii="Calibri" w:cs="Calibri" w:eastAsia="Calibri" w:hAnsi="Calibri"/>
                <w:b w:val="false"/>
                <w:bCs w:val="false"/>
                <w:sz w:val="20"/>
                <w:szCs w:val="20"/>
              </w:rPr>
              <w:t xml:space="preserve">≥ ~30 cP (grade-dependent)</w:t>
            </w:r>
          </w:p>
        </w:tc>
        <w:tc>
          <w:tcPr>
            <w:tcW w:type="dxa" w:w="1600"/>
            <w:vAlign w:val="center"/>
          </w:tcPr>
          <w:p>
            <w:r>
              <w:rPr>
                <w:rFonts w:ascii="Calibri" w:cs="Calibri" w:eastAsia="Calibri" w:hAnsi="Calibri"/>
                <w:b w:val="false"/>
                <w:bCs w:val="false"/>
                <w:sz w:val="20"/>
                <w:szCs w:val="20"/>
              </w:rPr>
              <w:t xml:space="preserve">Mean ± SD (n=3)</w:t>
            </w:r>
          </w:p>
        </w:tc>
      </w:tr>
      <w:tr>
        <w:tc>
          <w:tcPr>
            <w:tcW w:type="dxa" w:w="2600"/>
            <w:vAlign w:val="center"/>
          </w:tcPr>
          <w:p>
            <w:r>
              <w:rPr>
                <w:rFonts w:ascii="Calibri" w:cs="Calibri" w:eastAsia="Calibri" w:hAnsi="Calibri"/>
                <w:b w:val="false"/>
                <w:bCs w:val="false"/>
                <w:sz w:val="20"/>
                <w:szCs w:val="20"/>
              </w:rPr>
              <w:t xml:space="preserve">Yield Point (YP)</w:t>
            </w:r>
          </w:p>
        </w:tc>
        <w:tc>
          <w:tcPr>
            <w:tcW w:type="dxa" w:w="2200"/>
            <w:vAlign w:val="center"/>
          </w:tcPr>
          <w:p>
            <w:r>
              <w:rPr>
                <w:rFonts w:ascii="Calibri" w:cs="Calibri" w:eastAsia="Calibri" w:hAnsi="Calibri"/>
                <w:b w:val="false"/>
                <w:bCs w:val="false"/>
                <w:sz w:val="20"/>
                <w:szCs w:val="20"/>
              </w:rPr>
              <w:t xml:space="preserve">Fann 35, 600/300 rpm</w:t>
            </w:r>
          </w:p>
        </w:tc>
        <w:tc>
          <w:tcPr>
            <w:tcW w:type="dxa" w:w="2600"/>
            <w:vAlign w:val="center"/>
          </w:tcPr>
          <w:p>
            <w:r>
              <w:rPr>
                <w:rFonts w:ascii="Calibri" w:cs="Calibri" w:eastAsia="Calibri" w:hAnsi="Calibri"/>
                <w:b w:val="false"/>
                <w:bCs w:val="false"/>
                <w:sz w:val="20"/>
                <w:szCs w:val="20"/>
              </w:rPr>
              <w:t xml:space="preserve">Grade-dependent minimum</w:t>
            </w:r>
          </w:p>
        </w:tc>
        <w:tc>
          <w:tcPr>
            <w:tcW w:type="dxa" w:w="1600"/>
            <w:vAlign w:val="center"/>
          </w:tcPr>
          <w:p>
            <w:r>
              <w:rPr>
                <w:rFonts w:ascii="Calibri" w:cs="Calibri" w:eastAsia="Calibri" w:hAnsi="Calibri"/>
                <w:b w:val="false"/>
                <w:bCs w:val="false"/>
                <w:sz w:val="20"/>
                <w:szCs w:val="20"/>
              </w:rPr>
              <w:t xml:space="preserve">Mean ± SD (n=3)</w:t>
            </w:r>
          </w:p>
        </w:tc>
      </w:tr>
      <w:tr>
        <w:tc>
          <w:tcPr>
            <w:tcW w:type="dxa" w:w="2600"/>
            <w:vAlign w:val="center"/>
          </w:tcPr>
          <w:p>
            <w:r>
              <w:rPr>
                <w:rFonts w:ascii="Calibri" w:cs="Calibri" w:eastAsia="Calibri" w:hAnsi="Calibri"/>
                <w:b w:val="false"/>
                <w:bCs w:val="false"/>
                <w:sz w:val="20"/>
                <w:szCs w:val="20"/>
              </w:rPr>
              <w:t xml:space="preserve">YP/PV Ratio</w:t>
            </w:r>
          </w:p>
        </w:tc>
        <w:tc>
          <w:tcPr>
            <w:tcW w:type="dxa" w:w="2200"/>
            <w:vAlign w:val="center"/>
          </w:tcPr>
          <w:p>
            <w:r>
              <w:rPr>
                <w:rFonts w:ascii="Calibri" w:cs="Calibri" w:eastAsia="Calibri" w:hAnsi="Calibri"/>
                <w:b w:val="false"/>
                <w:bCs w:val="false"/>
                <w:sz w:val="20"/>
                <w:szCs w:val="20"/>
              </w:rPr>
              <w:t xml:space="preserve">Calculated</w:t>
            </w:r>
          </w:p>
        </w:tc>
        <w:tc>
          <w:tcPr>
            <w:tcW w:type="dxa" w:w="2600"/>
            <w:vAlign w:val="center"/>
          </w:tcPr>
          <w:p>
            <w:r>
              <w:rPr>
                <w:rFonts w:ascii="Calibri" w:cs="Calibri" w:eastAsia="Calibri" w:hAnsi="Calibri"/>
                <w:b w:val="false"/>
                <w:bCs w:val="false"/>
                <w:sz w:val="20"/>
                <w:szCs w:val="20"/>
              </w:rPr>
              <w:t xml:space="preserve">Application-dependent target range</w:t>
            </w:r>
          </w:p>
        </w:tc>
        <w:tc>
          <w:tcPr>
            <w:tcW w:type="dxa" w:w="1600"/>
            <w:vAlign w:val="center"/>
          </w:tcPr>
          <w:p>
            <w:r>
              <w:rPr>
                <w:rFonts w:ascii="Calibri" w:cs="Calibri" w:eastAsia="Calibri" w:hAnsi="Calibri"/>
                <w:b w:val="false"/>
                <w:bCs w:val="false"/>
                <w:sz w:val="20"/>
                <w:szCs w:val="20"/>
              </w:rPr>
              <w:t xml:space="preserve">Mean ± SD</w:t>
            </w:r>
          </w:p>
        </w:tc>
      </w:tr>
      <w:tr>
        <w:tc>
          <w:tcPr>
            <w:tcW w:type="dxa" w:w="2600"/>
            <w:vAlign w:val="center"/>
          </w:tcPr>
          <w:p>
            <w:r>
              <w:rPr>
                <w:rFonts w:ascii="Calibri" w:cs="Calibri" w:eastAsia="Calibri" w:hAnsi="Calibri"/>
                <w:b w:val="false"/>
                <w:bCs w:val="false"/>
                <w:sz w:val="20"/>
                <w:szCs w:val="20"/>
              </w:rPr>
              <w:t xml:space="preserve">Gel Strength (10-sec / 10-min)</w:t>
            </w:r>
          </w:p>
        </w:tc>
        <w:tc>
          <w:tcPr>
            <w:tcW w:type="dxa" w:w="2200"/>
            <w:vAlign w:val="center"/>
          </w:tcPr>
          <w:p>
            <w:r>
              <w:rPr>
                <w:rFonts w:ascii="Calibri" w:cs="Calibri" w:eastAsia="Calibri" w:hAnsi="Calibri"/>
                <w:b w:val="false"/>
                <w:bCs w:val="false"/>
                <w:sz w:val="20"/>
                <w:szCs w:val="20"/>
              </w:rPr>
              <w:t xml:space="preserve">Fann 35, 3 rpm</w:t>
            </w:r>
          </w:p>
        </w:tc>
        <w:tc>
          <w:tcPr>
            <w:tcW w:type="dxa" w:w="2600"/>
            <w:vAlign w:val="center"/>
          </w:tcPr>
          <w:p>
            <w:r>
              <w:rPr>
                <w:rFonts w:ascii="Calibri" w:cs="Calibri" w:eastAsia="Calibri" w:hAnsi="Calibri"/>
                <w:b w:val="false"/>
                <w:bCs w:val="false"/>
                <w:sz w:val="20"/>
                <w:szCs w:val="20"/>
              </w:rPr>
              <w:t xml:space="preserve">Grade-dependent minimum</w:t>
            </w:r>
          </w:p>
        </w:tc>
        <w:tc>
          <w:tcPr>
            <w:tcW w:type="dxa" w:w="1600"/>
            <w:vAlign w:val="center"/>
          </w:tcPr>
          <w:p>
            <w:r>
              <w:rPr>
                <w:rFonts w:ascii="Calibri" w:cs="Calibri" w:eastAsia="Calibri" w:hAnsi="Calibri"/>
                <w:b w:val="false"/>
                <w:bCs w:val="false"/>
                <w:sz w:val="20"/>
                <w:szCs w:val="20"/>
              </w:rPr>
              <w:t xml:space="preserve">Mean ± SD (n=3)</w:t>
            </w:r>
          </w:p>
        </w:tc>
      </w:tr>
      <w:tr>
        <w:tc>
          <w:tcPr>
            <w:tcW w:type="dxa" w:w="2600"/>
            <w:vAlign w:val="center"/>
          </w:tcPr>
          <w:p>
            <w:r>
              <w:rPr>
                <w:rFonts w:ascii="Calibri" w:cs="Calibri" w:eastAsia="Calibri" w:hAnsi="Calibri"/>
                <w:b w:val="false"/>
                <w:bCs w:val="false"/>
                <w:sz w:val="20"/>
                <w:szCs w:val="20"/>
              </w:rPr>
              <w:t xml:space="preserve">API Fluid Loss</w:t>
            </w:r>
          </w:p>
        </w:tc>
        <w:tc>
          <w:tcPr>
            <w:tcW w:type="dxa" w:w="2200"/>
            <w:vAlign w:val="center"/>
          </w:tcPr>
          <w:p>
            <w:r>
              <w:rPr>
                <w:rFonts w:ascii="Calibri" w:cs="Calibri" w:eastAsia="Calibri" w:hAnsi="Calibri"/>
                <w:b w:val="false"/>
                <w:bCs w:val="false"/>
                <w:sz w:val="20"/>
                <w:szCs w:val="20"/>
              </w:rPr>
              <w:t xml:space="preserve">API filter press</w:t>
            </w:r>
          </w:p>
        </w:tc>
        <w:tc>
          <w:tcPr>
            <w:tcW w:type="dxa" w:w="2600"/>
            <w:vAlign w:val="center"/>
          </w:tcPr>
          <w:p>
            <w:r>
              <w:rPr>
                <w:rFonts w:ascii="Calibri" w:cs="Calibri" w:eastAsia="Calibri" w:hAnsi="Calibri"/>
                <w:b w:val="false"/>
                <w:bCs w:val="false"/>
                <w:sz w:val="20"/>
                <w:szCs w:val="20"/>
              </w:rPr>
              <w:t xml:space="preserve">≤ 15 cm³ (30 min, standard grade)</w:t>
            </w:r>
          </w:p>
        </w:tc>
        <w:tc>
          <w:tcPr>
            <w:tcW w:type="dxa" w:w="1600"/>
            <w:vAlign w:val="center"/>
          </w:tcPr>
          <w:p>
            <w:r>
              <w:rPr>
                <w:rFonts w:ascii="Calibri" w:cs="Calibri" w:eastAsia="Calibri" w:hAnsi="Calibri"/>
                <w:b w:val="false"/>
                <w:bCs w:val="false"/>
                <w:sz w:val="20"/>
                <w:szCs w:val="20"/>
              </w:rPr>
              <w:t xml:space="preserve">Mean ± SD (n=3)</w:t>
            </w:r>
          </w:p>
        </w:tc>
      </w:tr>
      <w:tr>
        <w:tc>
          <w:tcPr>
            <w:tcW w:type="dxa" w:w="2600"/>
            <w:vAlign w:val="center"/>
          </w:tcPr>
          <w:p>
            <w:r>
              <w:rPr>
                <w:rFonts w:ascii="Calibri" w:cs="Calibri" w:eastAsia="Calibri" w:hAnsi="Calibri"/>
                <w:b w:val="false"/>
                <w:bCs w:val="false"/>
                <w:sz w:val="20"/>
                <w:szCs w:val="20"/>
              </w:rPr>
              <w:t xml:space="preserve">Mud Weight (Density)</w:t>
            </w:r>
          </w:p>
        </w:tc>
        <w:tc>
          <w:tcPr>
            <w:tcW w:type="dxa" w:w="2200"/>
            <w:vAlign w:val="center"/>
          </w:tcPr>
          <w:p>
            <w:r>
              <w:rPr>
                <w:rFonts w:ascii="Calibri" w:cs="Calibri" w:eastAsia="Calibri" w:hAnsi="Calibri"/>
                <w:b w:val="false"/>
                <w:bCs w:val="false"/>
                <w:sz w:val="20"/>
                <w:szCs w:val="20"/>
              </w:rPr>
              <w:t xml:space="preserve">Mud balance</w:t>
            </w:r>
          </w:p>
        </w:tc>
        <w:tc>
          <w:tcPr>
            <w:tcW w:type="dxa" w:w="2600"/>
            <w:vAlign w:val="center"/>
          </w:tcPr>
          <w:p>
            <w:r>
              <w:rPr>
                <w:rFonts w:ascii="Calibri" w:cs="Calibri" w:eastAsia="Calibri" w:hAnsi="Calibri"/>
                <w:b w:val="false"/>
                <w:bCs w:val="false"/>
                <w:sz w:val="20"/>
                <w:szCs w:val="20"/>
              </w:rPr>
              <w:t xml:space="preserve">Target-density dependent</w:t>
            </w:r>
          </w:p>
        </w:tc>
        <w:tc>
          <w:tcPr>
            <w:tcW w:type="dxa" w:w="1600"/>
            <w:vAlign w:val="center"/>
          </w:tcPr>
          <w:p>
            <w:r>
              <w:rPr>
                <w:rFonts w:ascii="Calibri" w:cs="Calibri" w:eastAsia="Calibri" w:hAnsi="Calibri"/>
                <w:b w:val="false"/>
                <w:bCs w:val="false"/>
                <w:sz w:val="20"/>
                <w:szCs w:val="20"/>
              </w:rPr>
              <w:t xml:space="preserve">Single reading per batch</w:t>
            </w:r>
          </w:p>
        </w:tc>
      </w:tr>
      <w:tr>
        <w:tc>
          <w:tcPr>
            <w:tcW w:type="dxa" w:w="2600"/>
            <w:vAlign w:val="center"/>
          </w:tcPr>
          <w:p>
            <w:r>
              <w:rPr>
                <w:rFonts w:ascii="Calibri" w:cs="Calibri" w:eastAsia="Calibri" w:hAnsi="Calibri"/>
                <w:b w:val="false"/>
                <w:bCs w:val="false"/>
                <w:sz w:val="20"/>
                <w:szCs w:val="20"/>
              </w:rPr>
              <w:t xml:space="preserve">pH</w:t>
            </w:r>
          </w:p>
        </w:tc>
        <w:tc>
          <w:tcPr>
            <w:tcW w:type="dxa" w:w="2200"/>
            <w:vAlign w:val="center"/>
          </w:tcPr>
          <w:p>
            <w:r>
              <w:rPr>
                <w:rFonts w:ascii="Calibri" w:cs="Calibri" w:eastAsia="Calibri" w:hAnsi="Calibri"/>
                <w:b w:val="false"/>
                <w:bCs w:val="false"/>
                <w:sz w:val="20"/>
                <w:szCs w:val="20"/>
              </w:rPr>
              <w:t xml:space="preserve">pH meter</w:t>
            </w:r>
          </w:p>
        </w:tc>
        <w:tc>
          <w:tcPr>
            <w:tcW w:type="dxa" w:w="2600"/>
            <w:vAlign w:val="center"/>
          </w:tcPr>
          <w:p>
            <w:r>
              <w:rPr>
                <w:rFonts w:ascii="Calibri" w:cs="Calibri" w:eastAsia="Calibri" w:hAnsi="Calibri"/>
                <w:b w:val="false"/>
                <w:bCs w:val="false"/>
                <w:sz w:val="20"/>
                <w:szCs w:val="20"/>
              </w:rPr>
              <w:t xml:space="preserve">Typically 8–10 for WBM</w:t>
            </w:r>
          </w:p>
        </w:tc>
        <w:tc>
          <w:tcPr>
            <w:tcW w:type="dxa" w:w="1600"/>
            <w:vAlign w:val="center"/>
          </w:tcPr>
          <w:p>
            <w:r>
              <w:rPr>
                <w:rFonts w:ascii="Calibri" w:cs="Calibri" w:eastAsia="Calibri" w:hAnsi="Calibri"/>
                <w:b w:val="false"/>
                <w:bCs w:val="false"/>
                <w:sz w:val="20"/>
                <w:szCs w:val="20"/>
              </w:rPr>
              <w:t xml:space="preserve">Single reading per batch</w:t>
            </w:r>
          </w:p>
        </w:tc>
      </w:tr>
    </w:tbl>
    <w:p>
      <w:pPr>
        <w:spacing w:after="160" w:line="276"/>
      </w:pPr>
      <w:r>
        <w:rPr>
          <w:rFonts w:ascii="Calibri" w:cs="Calibri" w:eastAsia="Calibri" w:hAnsi="Calibri"/>
          <w:sz w:val="22"/>
          <w:szCs w:val="22"/>
        </w:rPr>
        <w:t xml:space="preserve">The RSM model built from this dataset will be used (via Minitab's Response Optimizer, cross-checked independently in Python) to identify the Alaslaf Bentonite formulation that most closely approaches bentonite-level performance and the API 13A targets in Table 1. The optimized formulation will be statistically compared (t-test/ANOVA, using replicate data) against both the commercial bentonite benchmark and the API specification.</w:t>
      </w:r>
    </w:p>
    <w:p>
      <w:pPr>
        <w:pStyle w:val="Heading2"/>
        <w:spacing w:after="120" w:before="240"/>
      </w:pPr>
      <w:r>
        <w:t xml:space="preserve">5.6 Phase 4 — Data Reporting and API-Compliance Assessment</w:t>
      </w:r>
    </w:p>
    <w:p>
      <w:pPr>
        <w:spacing w:after="160" w:line="276"/>
      </w:pPr>
      <w:r>
        <w:rPr>
          <w:rFonts w:ascii="Calibri" w:cs="Calibri" w:eastAsia="Calibri" w:hAnsi="Calibri"/>
          <w:sz w:val="22"/>
          <w:szCs w:val="22"/>
        </w:rPr>
        <w:t xml:space="preserve">Results will be reported against the API 13A benchmark explicitly, quantifying any shortfall if the optimized formulation does not fully reach commercial-bentonite performance. This framing follows the precedent set by Khan et al. (2017) and related national-clay studies (Nigeria, Saudi Arabia, Egypt), where a well-quantified partial result is treated as a valid and useful outcome rather than a failure of the study.</w:t>
      </w:r>
    </w:p>
    <w:p>
      <w:pPr>
        <w:pStyle w:val="Heading1"/>
        <w:spacing w:after="160" w:before="360"/>
      </w:pPr>
      <w:r>
        <w:t xml:space="preserve">6. Expected Outcomes and Deliverables</w:t>
      </w:r>
    </w:p>
    <w:p>
      <w:pPr>
        <w:pStyle w:val="ListParagraph"/>
        <w:numPr>
          <w:ilvl w:val="0"/>
          <w:numId w:val="1"/>
        </w:numPr>
        <w:spacing w:after="100" w:line="276"/>
        <w:rPr>
          <w:rFonts w:ascii="Calibri" w:cs="Calibri" w:eastAsia="Calibri" w:hAnsi="Calibri"/>
          <w:sz w:val="22"/>
          <w:szCs w:val="22"/>
        </w:rPr>
      </w:pPr>
      <w:r>
        <w:t xml:space="preserve">A mineralogical, chemical, and physicochemical characterization dataset for Alaslaf Bentonite, including XRD mineralogy, XRF-based Na/Ca classification, and CEC.</w:t>
      </w:r>
    </w:p>
    <w:p>
      <w:pPr>
        <w:pStyle w:val="ListParagraph"/>
        <w:numPr>
          <w:ilvl w:val="0"/>
          <w:numId w:val="1"/>
        </w:numPr>
        <w:spacing w:after="100" w:line="276"/>
        <w:rPr>
          <w:rFonts w:ascii="Calibri" w:cs="Calibri" w:eastAsia="Calibri" w:hAnsi="Calibri"/>
          <w:sz w:val="22"/>
          <w:szCs w:val="22"/>
        </w:rPr>
      </w:pPr>
      <w:r>
        <w:t xml:space="preserve">An RSM-based model relating Alaslaf Bentonite concentration, Na2CO3 activation dosage, and CMC concentration to rheological and filtration properties.</w:t>
      </w:r>
    </w:p>
    <w:p>
      <w:pPr>
        <w:pStyle w:val="ListParagraph"/>
        <w:numPr>
          <w:ilvl w:val="0"/>
          <w:numId w:val="1"/>
        </w:numPr>
        <w:spacing w:after="100" w:line="276"/>
        <w:rPr>
          <w:rFonts w:ascii="Calibri" w:cs="Calibri" w:eastAsia="Calibri" w:hAnsi="Calibri"/>
          <w:sz w:val="22"/>
          <w:szCs w:val="22"/>
        </w:rPr>
      </w:pPr>
      <w:r>
        <w:t xml:space="preserve">One or more optimized Alaslaf-clay mud formulations, quantitatively benchmarked against commercial Wyoming bentonite and against the full API 13A target table (Table 1).</w:t>
      </w:r>
    </w:p>
    <w:p>
      <w:pPr>
        <w:pStyle w:val="ListParagraph"/>
        <w:numPr>
          <w:ilvl w:val="0"/>
          <w:numId w:val="1"/>
        </w:numPr>
        <w:spacing w:after="100" w:line="276"/>
        <w:rPr>
          <w:rFonts w:ascii="Calibri" w:cs="Calibri" w:eastAsia="Calibri" w:hAnsi="Calibri"/>
          <w:sz w:val="22"/>
          <w:szCs w:val="22"/>
        </w:rPr>
      </w:pPr>
      <w:r>
        <w:t xml:space="preserve">A characterized sodium-activation step (XRD basal-spacing shift, CEC change) and its measured effect on drilling-fluid performance.</w:t>
      </w:r>
    </w:p>
    <w:p>
      <w:pPr>
        <w:pStyle w:val="ListParagraph"/>
        <w:numPr>
          <w:ilvl w:val="0"/>
          <w:numId w:val="1"/>
        </w:numPr>
        <w:spacing w:after="100" w:line="276"/>
        <w:rPr>
          <w:rFonts w:ascii="Calibri" w:cs="Calibri" w:eastAsia="Calibri" w:hAnsi="Calibri"/>
          <w:sz w:val="22"/>
          <w:szCs w:val="22"/>
        </w:rPr>
      </w:pPr>
      <w:r>
        <w:t xml:space="preserve">A clear, evidence-based conclusion on whether — and to what extent — Alaslaf Bentonite can serve as a substitute for imported bentonite for this application.</w:t>
      </w:r>
    </w:p>
    <w:p>
      <w:pPr>
        <w:pStyle w:val="Heading1"/>
        <w:spacing w:after="160" w:before="360"/>
      </w:pPr>
      <w:r>
        <w:t xml:space="preserve">7. Significance and Contribution to the Field</w:t>
      </w:r>
    </w:p>
    <w:p>
      <w:pPr>
        <w:spacing w:after="160" w:line="276"/>
      </w:pPr>
      <w:r>
        <w:rPr>
          <w:rFonts w:ascii="Calibri" w:cs="Calibri" w:eastAsia="Calibri" w:hAnsi="Calibri"/>
          <w:sz w:val="22"/>
          <w:szCs w:val="22"/>
        </w:rPr>
        <w:t xml:space="preserve">If successful, this research offers a practical route to reducing dependence on imported drilling-fluid additives — a tangible concern given current import and logistics constraints in Yemen. It produces the first systematic, API-benchmarked beneficiation study of a Yemeni bentonite deposit for drilling-fluid use, extending the existing characterization of the Alaslaf deposit (Alshameri et al., 2013) into a drilling-engineering performance context, and following the same evidentiary approach used for comparable deposits in Pakistan, Nigeria, Saudi Arabia, and Egypt.</w:t>
      </w:r>
    </w:p>
    <w:p>
      <w:pPr>
        <w:spacing w:after="160" w:line="276"/>
      </w:pPr>
      <w:r>
        <w:rPr>
          <w:rFonts w:ascii="Calibri" w:cs="Calibri" w:eastAsia="Calibri" w:hAnsi="Calibri"/>
          <w:sz w:val="22"/>
          <w:szCs w:val="22"/>
        </w:rPr>
        <w:t xml:space="preserve">Even a clearly negative or partial result — i.e., Alaslaf Bentonite proving only a partial or activation-dependent substitute — would be a useful and reportable finding, establishing an evidence-based baseline for any future Yemeni bentonite-development work. The thesis chapters are structured to map directly onto a planned manuscript submission to the Journal of Petroleum Exploration and Production Technology (JPEPT): the Methodology chapter forms the basis of the Materials and Methods section, the Results chapter is condensed into the manuscript's Results section, and the Economic Feasibility summary (Section 8) is compressed into a supporting paragraph within the Discussion.</w:t>
      </w:r>
    </w:p>
    <w:p>
      <w:pPr>
        <w:pStyle w:val="Heading1"/>
        <w:spacing w:after="160" w:before="360"/>
      </w:pPr>
      <w:r>
        <w:t xml:space="preserve">8. Economic Feasibility Summary</w:t>
      </w:r>
    </w:p>
    <w:p>
      <w:pPr>
        <w:spacing w:after="160" w:line="276"/>
      </w:pPr>
      <w:r>
        <w:rPr>
          <w:rFonts w:ascii="Calibri" w:cs="Calibri" w:eastAsia="Calibri" w:hAnsi="Calibri"/>
          <w:sz w:val="22"/>
          <w:szCs w:val="22"/>
        </w:rPr>
        <w:t xml:space="preserve">An indicative cost comparison will be prepared between (a) the current landed cost of imported commercial bentonite in Yemen, sourced from regional supplier pricing and cited accordingly, and (b) the estimated cost of local Alaslaf clay processing plus Na2CO3 and CMC additives at the optimized formulation identified in Phase 2–3. This comparison is explicitly framed as an indicative feasibility estimate rather than a full engineering cost-benefit analysis, and is intended to support — not substitute for — the technical performance findings that form the core of this thesis.</w:t>
      </w:r>
    </w:p>
    <w:p>
      <w:pPr>
        <w:pStyle w:val="Heading1"/>
        <w:spacing w:after="160" w:before="360"/>
      </w:pPr>
      <w:r>
        <w:t xml:space="preserve">9. Tentative Timeline</w:t>
      </w:r>
    </w:p>
    <w:p>
      <w:pPr>
        <w:spacing w:after="160" w:line="276"/>
      </w:pPr>
      <w:r>
        <w:rPr>
          <w:rFonts w:ascii="Calibri" w:cs="Calibri" w:eastAsia="Calibri" w:hAnsi="Calibri"/>
          <w:sz w:val="22"/>
          <w:szCs w:val="22"/>
        </w:rPr>
        <w:t xml:space="preserve">The schedule below assumes a 12-month thesis timeline and should be reviewed with the supervisor and department, since sample and chemical/analytical access can introduce delays outside the candidate's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000"/>
      </w:tblGrid>
      <w:tr>
        <w:trPr>
          <w:tblHeader/>
        </w:trPr>
        <w:tc>
          <w:tcPr>
            <w:tcW w:type="dxa" w:w="2200"/>
            <w:shd w:fill="1F4E79" w:val="clear"/>
            <w:vAlign w:val="center"/>
          </w:tcPr>
          <w:p>
            <w:r>
              <w:rPr>
                <w:rFonts w:ascii="Calibri" w:cs="Calibri" w:eastAsia="Calibri" w:hAnsi="Calibri"/>
                <w:b/>
                <w:bCs/>
                <w:color w:val="FFFFFF"/>
                <w:sz w:val="20"/>
                <w:szCs w:val="20"/>
              </w:rPr>
              <w:t xml:space="preserve">Phase</w:t>
            </w:r>
          </w:p>
        </w:tc>
        <w:tc>
          <w:tcPr>
            <w:tcW w:type="dxa" w:w="4800"/>
            <w:shd w:fill="1F4E79" w:val="clear"/>
            <w:vAlign w:val="center"/>
          </w:tcPr>
          <w:p>
            <w:r>
              <w:rPr>
                <w:rFonts w:ascii="Calibri" w:cs="Calibri" w:eastAsia="Calibri" w:hAnsi="Calibri"/>
                <w:b/>
                <w:bCs/>
                <w:color w:val="FFFFFF"/>
                <w:sz w:val="20"/>
                <w:szCs w:val="20"/>
              </w:rPr>
              <w:t xml:space="preserve">Activity</w:t>
            </w:r>
          </w:p>
        </w:tc>
        <w:tc>
          <w:tcPr>
            <w:tcW w:type="dxa" w:w="2000"/>
            <w:shd w:fill="1F4E79" w:val="clear"/>
            <w:vAlign w:val="center"/>
          </w:tcPr>
          <w:p>
            <w:r>
              <w:rPr>
                <w:rFonts w:ascii="Calibri" w:cs="Calibri" w:eastAsia="Calibri" w:hAnsi="Calibri"/>
                <w:b/>
                <w:bCs/>
                <w:color w:val="FFFFFF"/>
                <w:sz w:val="20"/>
                <w:szCs w:val="20"/>
              </w:rPr>
              <w:t xml:space="preserve">Approx. Timing</w:t>
            </w:r>
          </w:p>
        </w:tc>
      </w:tr>
      <w:tr>
        <w:tc>
          <w:tcPr>
            <w:tcW w:type="dxa" w:w="2200"/>
            <w:vAlign w:val="center"/>
          </w:tcPr>
          <w:p>
            <w:r>
              <w:rPr>
                <w:rFonts w:ascii="Calibri" w:cs="Calibri" w:eastAsia="Calibri" w:hAnsi="Calibri"/>
                <w:b w:val="false"/>
                <w:bCs w:val="false"/>
                <w:sz w:val="20"/>
                <w:szCs w:val="20"/>
              </w:rPr>
              <w:t xml:space="preserve">Phase 0</w:t>
            </w:r>
          </w:p>
        </w:tc>
        <w:tc>
          <w:tcPr>
            <w:tcW w:type="dxa" w:w="4800"/>
            <w:vAlign w:val="center"/>
          </w:tcPr>
          <w:p>
            <w:r>
              <w:rPr>
                <w:rFonts w:ascii="Calibri" w:cs="Calibri" w:eastAsia="Calibri" w:hAnsi="Calibri"/>
                <w:b w:val="false"/>
                <w:bCs w:val="false"/>
                <w:sz w:val="20"/>
                <w:szCs w:val="20"/>
              </w:rPr>
              <w:t xml:space="preserve">Feasibility confirmation: sampling site, XRD/XRF access</w:t>
            </w:r>
          </w:p>
        </w:tc>
        <w:tc>
          <w:tcPr>
            <w:tcW w:type="dxa" w:w="2000"/>
            <w:vAlign w:val="center"/>
          </w:tcPr>
          <w:p>
            <w:r>
              <w:rPr>
                <w:rFonts w:ascii="Calibri" w:cs="Calibri" w:eastAsia="Calibri" w:hAnsi="Calibri"/>
                <w:b w:val="false"/>
                <w:bCs w:val="false"/>
                <w:sz w:val="20"/>
                <w:szCs w:val="20"/>
              </w:rPr>
              <w:t xml:space="preserve">Months 1</w:t>
            </w:r>
          </w:p>
        </w:tc>
      </w:tr>
      <w:tr>
        <w:tc>
          <w:tcPr>
            <w:tcW w:type="dxa" w:w="2200"/>
            <w:vAlign w:val="center"/>
          </w:tcPr>
          <w:p>
            <w:r>
              <w:rPr>
                <w:rFonts w:ascii="Calibri" w:cs="Calibri" w:eastAsia="Calibri" w:hAnsi="Calibri"/>
                <w:b w:val="false"/>
                <w:bCs w:val="false"/>
                <w:sz w:val="20"/>
                <w:szCs w:val="20"/>
              </w:rPr>
              <w:t xml:space="preserve">Phase 1</w:t>
            </w:r>
          </w:p>
        </w:tc>
        <w:tc>
          <w:tcPr>
            <w:tcW w:type="dxa" w:w="4800"/>
            <w:vAlign w:val="center"/>
          </w:tcPr>
          <w:p>
            <w:r>
              <w:rPr>
                <w:rFonts w:ascii="Calibri" w:cs="Calibri" w:eastAsia="Calibri" w:hAnsi="Calibri"/>
                <w:b w:val="false"/>
                <w:bCs w:val="false"/>
                <w:sz w:val="20"/>
                <w:szCs w:val="20"/>
              </w:rPr>
              <w:t xml:space="preserve">Sampling and mineralogical characterization</w:t>
            </w:r>
          </w:p>
        </w:tc>
        <w:tc>
          <w:tcPr>
            <w:tcW w:type="dxa" w:w="2000"/>
            <w:vAlign w:val="center"/>
          </w:tcPr>
          <w:p>
            <w:r>
              <w:rPr>
                <w:rFonts w:ascii="Calibri" w:cs="Calibri" w:eastAsia="Calibri" w:hAnsi="Calibri"/>
                <w:b w:val="false"/>
                <w:bCs w:val="false"/>
                <w:sz w:val="20"/>
                <w:szCs w:val="20"/>
              </w:rPr>
              <w:t xml:space="preserve">Months 1–3</w:t>
            </w:r>
          </w:p>
        </w:tc>
      </w:tr>
      <w:tr>
        <w:tc>
          <w:tcPr>
            <w:tcW w:type="dxa" w:w="2200"/>
            <w:vAlign w:val="center"/>
          </w:tcPr>
          <w:p>
            <w:r>
              <w:rPr>
                <w:rFonts w:ascii="Calibri" w:cs="Calibri" w:eastAsia="Calibri" w:hAnsi="Calibri"/>
                <w:b w:val="false"/>
                <w:bCs w:val="false"/>
                <w:sz w:val="20"/>
                <w:szCs w:val="20"/>
              </w:rPr>
              <w:t xml:space="preserve">Phase 2</w:t>
            </w:r>
          </w:p>
        </w:tc>
        <w:tc>
          <w:tcPr>
            <w:tcW w:type="dxa" w:w="4800"/>
            <w:vAlign w:val="center"/>
          </w:tcPr>
          <w:p>
            <w:r>
              <w:rPr>
                <w:rFonts w:ascii="Calibri" w:cs="Calibri" w:eastAsia="Calibri" w:hAnsi="Calibri"/>
                <w:b w:val="false"/>
                <w:bCs w:val="false"/>
                <w:sz w:val="20"/>
                <w:szCs w:val="20"/>
              </w:rPr>
              <w:t xml:space="preserve">Activation trials and DOE formulation design</w:t>
            </w:r>
          </w:p>
        </w:tc>
        <w:tc>
          <w:tcPr>
            <w:tcW w:type="dxa" w:w="2000"/>
            <w:vAlign w:val="center"/>
          </w:tcPr>
          <w:p>
            <w:r>
              <w:rPr>
                <w:rFonts w:ascii="Calibri" w:cs="Calibri" w:eastAsia="Calibri" w:hAnsi="Calibri"/>
                <w:b w:val="false"/>
                <w:bCs w:val="false"/>
                <w:sz w:val="20"/>
                <w:szCs w:val="20"/>
              </w:rPr>
              <w:t xml:space="preserve">Months 3–5</w:t>
            </w:r>
          </w:p>
        </w:tc>
      </w:tr>
      <w:tr>
        <w:tc>
          <w:tcPr>
            <w:tcW w:type="dxa" w:w="2200"/>
            <w:vAlign w:val="center"/>
          </w:tcPr>
          <w:p>
            <w:r>
              <w:rPr>
                <w:rFonts w:ascii="Calibri" w:cs="Calibri" w:eastAsia="Calibri" w:hAnsi="Calibri"/>
                <w:b w:val="false"/>
                <w:bCs w:val="false"/>
                <w:sz w:val="20"/>
                <w:szCs w:val="20"/>
              </w:rPr>
              <w:t xml:space="preserve">Phase 2 cont.</w:t>
            </w:r>
          </w:p>
        </w:tc>
        <w:tc>
          <w:tcPr>
            <w:tcW w:type="dxa" w:w="4800"/>
            <w:vAlign w:val="center"/>
          </w:tcPr>
          <w:p>
            <w:r>
              <w:rPr>
                <w:rFonts w:ascii="Calibri" w:cs="Calibri" w:eastAsia="Calibri" w:hAnsi="Calibri"/>
                <w:b w:val="false"/>
                <w:bCs w:val="false"/>
                <w:sz w:val="20"/>
                <w:szCs w:val="20"/>
              </w:rPr>
              <w:t xml:space="preserve">DOE execution (15 runs, triplicate testing)</w:t>
            </w:r>
          </w:p>
        </w:tc>
        <w:tc>
          <w:tcPr>
            <w:tcW w:type="dxa" w:w="2000"/>
            <w:vAlign w:val="center"/>
          </w:tcPr>
          <w:p>
            <w:r>
              <w:rPr>
                <w:rFonts w:ascii="Calibri" w:cs="Calibri" w:eastAsia="Calibri" w:hAnsi="Calibri"/>
                <w:b w:val="false"/>
                <w:bCs w:val="false"/>
                <w:sz w:val="20"/>
                <w:szCs w:val="20"/>
              </w:rPr>
              <w:t xml:space="preserve">Months 5–7</w:t>
            </w:r>
          </w:p>
        </w:tc>
      </w:tr>
      <w:tr>
        <w:tc>
          <w:tcPr>
            <w:tcW w:type="dxa" w:w="2200"/>
            <w:vAlign w:val="center"/>
          </w:tcPr>
          <w:p>
            <w:r>
              <w:rPr>
                <w:rFonts w:ascii="Calibri" w:cs="Calibri" w:eastAsia="Calibri" w:hAnsi="Calibri"/>
                <w:b w:val="false"/>
                <w:bCs w:val="false"/>
                <w:sz w:val="20"/>
                <w:szCs w:val="20"/>
              </w:rPr>
              <w:t xml:space="preserve">Phase 3–4</w:t>
            </w:r>
          </w:p>
        </w:tc>
        <w:tc>
          <w:tcPr>
            <w:tcW w:type="dxa" w:w="4800"/>
            <w:vAlign w:val="center"/>
          </w:tcPr>
          <w:p>
            <w:r>
              <w:rPr>
                <w:rFonts w:ascii="Calibri" w:cs="Calibri" w:eastAsia="Calibri" w:hAnsi="Calibri"/>
                <w:b w:val="false"/>
                <w:bCs w:val="false"/>
                <w:sz w:val="20"/>
                <w:szCs w:val="20"/>
              </w:rPr>
              <w:t xml:space="preserve">Rheology/filtration benchmarking, RSM analysis</w:t>
            </w:r>
          </w:p>
        </w:tc>
        <w:tc>
          <w:tcPr>
            <w:tcW w:type="dxa" w:w="2000"/>
            <w:vAlign w:val="center"/>
          </w:tcPr>
          <w:p>
            <w:r>
              <w:rPr>
                <w:rFonts w:ascii="Calibri" w:cs="Calibri" w:eastAsia="Calibri" w:hAnsi="Calibri"/>
                <w:b w:val="false"/>
                <w:bCs w:val="false"/>
                <w:sz w:val="20"/>
                <w:szCs w:val="20"/>
              </w:rPr>
              <w:t xml:space="preserve">Months 7–8</w:t>
            </w:r>
          </w:p>
        </w:tc>
      </w:tr>
      <w:tr>
        <w:tc>
          <w:tcPr>
            <w:tcW w:type="dxa" w:w="2200"/>
            <w:vAlign w:val="center"/>
          </w:tcPr>
          <w:p>
            <w:r>
              <w:rPr>
                <w:rFonts w:ascii="Calibri" w:cs="Calibri" w:eastAsia="Calibri" w:hAnsi="Calibri"/>
                <w:b w:val="false"/>
                <w:bCs w:val="false"/>
                <w:sz w:val="20"/>
                <w:szCs w:val="20"/>
              </w:rPr>
              <w:t xml:space="preserve">—</w:t>
            </w:r>
          </w:p>
        </w:tc>
        <w:tc>
          <w:tcPr>
            <w:tcW w:type="dxa" w:w="4800"/>
            <w:vAlign w:val="center"/>
          </w:tcPr>
          <w:p>
            <w:r>
              <w:rPr>
                <w:rFonts w:ascii="Calibri" w:cs="Calibri" w:eastAsia="Calibri" w:hAnsi="Calibri"/>
                <w:b w:val="false"/>
                <w:bCs w:val="false"/>
                <w:sz w:val="20"/>
                <w:szCs w:val="20"/>
              </w:rPr>
              <w:t xml:space="preserve">Economic comparison and data reporting</w:t>
            </w:r>
          </w:p>
        </w:tc>
        <w:tc>
          <w:tcPr>
            <w:tcW w:type="dxa" w:w="2000"/>
            <w:vAlign w:val="center"/>
          </w:tcPr>
          <w:p>
            <w:r>
              <w:rPr>
                <w:rFonts w:ascii="Calibri" w:cs="Calibri" w:eastAsia="Calibri" w:hAnsi="Calibri"/>
                <w:b w:val="false"/>
                <w:bCs w:val="false"/>
                <w:sz w:val="20"/>
                <w:szCs w:val="20"/>
              </w:rPr>
              <w:t xml:space="preserve">Months 8–9</w:t>
            </w:r>
          </w:p>
        </w:tc>
      </w:tr>
      <w:tr>
        <w:tc>
          <w:tcPr>
            <w:tcW w:type="dxa" w:w="2200"/>
            <w:vAlign w:val="center"/>
          </w:tcPr>
          <w:p>
            <w:r>
              <w:rPr>
                <w:rFonts w:ascii="Calibri" w:cs="Calibri" w:eastAsia="Calibri" w:hAnsi="Calibri"/>
                <w:b w:val="false"/>
                <w:bCs w:val="false"/>
                <w:sz w:val="20"/>
                <w:szCs w:val="20"/>
              </w:rPr>
              <w:t xml:space="preserve">—</w:t>
            </w:r>
          </w:p>
        </w:tc>
        <w:tc>
          <w:tcPr>
            <w:tcW w:type="dxa" w:w="4800"/>
            <w:vAlign w:val="center"/>
          </w:tcPr>
          <w:p>
            <w:r>
              <w:rPr>
                <w:rFonts w:ascii="Calibri" w:cs="Calibri" w:eastAsia="Calibri" w:hAnsi="Calibri"/>
                <w:b w:val="false"/>
                <w:bCs w:val="false"/>
                <w:sz w:val="20"/>
                <w:szCs w:val="20"/>
              </w:rPr>
              <w:t xml:space="preserve">Thesis writing and revision</w:t>
            </w:r>
          </w:p>
        </w:tc>
        <w:tc>
          <w:tcPr>
            <w:tcW w:type="dxa" w:w="2000"/>
            <w:vAlign w:val="center"/>
          </w:tcPr>
          <w:p>
            <w:r>
              <w:rPr>
                <w:rFonts w:ascii="Calibri" w:cs="Calibri" w:eastAsia="Calibri" w:hAnsi="Calibri"/>
                <w:b w:val="false"/>
                <w:bCs w:val="false"/>
                <w:sz w:val="20"/>
                <w:szCs w:val="20"/>
              </w:rPr>
              <w:t xml:space="preserve">Months 9–11</w:t>
            </w:r>
          </w:p>
        </w:tc>
      </w:tr>
      <w:tr>
        <w:tc>
          <w:tcPr>
            <w:tcW w:type="dxa" w:w="2200"/>
            <w:vAlign w:val="center"/>
          </w:tcPr>
          <w:p>
            <w:r>
              <w:rPr>
                <w:rFonts w:ascii="Calibri" w:cs="Calibri" w:eastAsia="Calibri" w:hAnsi="Calibri"/>
                <w:b w:val="false"/>
                <w:bCs w:val="false"/>
                <w:sz w:val="20"/>
                <w:szCs w:val="20"/>
              </w:rPr>
              <w:t xml:space="preserve">—</w:t>
            </w:r>
          </w:p>
        </w:tc>
        <w:tc>
          <w:tcPr>
            <w:tcW w:type="dxa" w:w="4800"/>
            <w:vAlign w:val="center"/>
          </w:tcPr>
          <w:p>
            <w:r>
              <w:rPr>
                <w:rFonts w:ascii="Calibri" w:cs="Calibri" w:eastAsia="Calibri" w:hAnsi="Calibri"/>
                <w:b w:val="false"/>
                <w:bCs w:val="false"/>
                <w:sz w:val="20"/>
                <w:szCs w:val="20"/>
              </w:rPr>
              <w:t xml:space="preserve">Defense preparation and submission</w:t>
            </w:r>
          </w:p>
        </w:tc>
        <w:tc>
          <w:tcPr>
            <w:tcW w:type="dxa" w:w="2000"/>
            <w:vAlign w:val="center"/>
          </w:tcPr>
          <w:p>
            <w:r>
              <w:rPr>
                <w:rFonts w:ascii="Calibri" w:cs="Calibri" w:eastAsia="Calibri" w:hAnsi="Calibri"/>
                <w:b w:val="false"/>
                <w:bCs w:val="false"/>
                <w:sz w:val="20"/>
                <w:szCs w:val="20"/>
              </w:rPr>
              <w:t xml:space="preserve">Month 12</w:t>
            </w:r>
          </w:p>
        </w:tc>
      </w:tr>
    </w:tbl>
    <w:p>
      <w:pPr>
        <w:pStyle w:val="Heading1"/>
        <w:spacing w:after="160" w:before="360"/>
      </w:pPr>
      <w:r>
        <w:t xml:space="preserve">10. Limitations and Risk Considerations</w:t>
      </w:r>
    </w:p>
    <w:p>
      <w:pPr>
        <w:pStyle w:val="ListParagraph"/>
        <w:numPr>
          <w:ilvl w:val="0"/>
          <w:numId w:val="1"/>
        </w:numPr>
        <w:spacing w:after="100" w:line="276"/>
        <w:rPr>
          <w:rFonts w:ascii="Calibri" w:cs="Calibri" w:eastAsia="Calibri" w:hAnsi="Calibri"/>
          <w:sz w:val="22"/>
          <w:szCs w:val="22"/>
        </w:rPr>
      </w:pPr>
      <w:r>
        <w:t xml:space="preserve">Performance risk: prior published data (Alshameri et al., 2013) suggest Alaslaf Bentonite may be Ca- or mixed-cation dominant in its raw form, which typically has lower swelling and viscosity-building capacity than Na-bentonite. The numeric go/no-go check and sodium-activation contingency (Section 5.3) are built in specifically to address this; a partial- rather than full-substitution result remains a valid and reportable outcome.</w:t>
      </w:r>
    </w:p>
    <w:p>
      <w:pPr>
        <w:pStyle w:val="ListParagraph"/>
        <w:numPr>
          <w:ilvl w:val="0"/>
          <w:numId w:val="1"/>
        </w:numPr>
        <w:spacing w:after="100" w:line="276"/>
        <w:rPr>
          <w:rFonts w:ascii="Calibri" w:cs="Calibri" w:eastAsia="Calibri" w:hAnsi="Calibri"/>
          <w:sz w:val="22"/>
          <w:szCs w:val="22"/>
        </w:rPr>
      </w:pPr>
      <w:r>
        <w:t xml:space="preserve">Available equipment limits direct rheological measurement to ambient/moderate conditions. Thermal aging (hot-rolling) and true downhole high-pressure, high-temperature (HPHT) behavior are outside the scope of this study, as roller-oven equipment is not available.</w:t>
      </w:r>
    </w:p>
    <w:p>
      <w:pPr>
        <w:pStyle w:val="ListParagraph"/>
        <w:numPr>
          <w:ilvl w:val="0"/>
          <w:numId w:val="1"/>
        </w:numPr>
        <w:spacing w:after="100" w:line="276"/>
        <w:rPr>
          <w:rFonts w:ascii="Calibri" w:cs="Calibri" w:eastAsia="Calibri" w:hAnsi="Calibri"/>
          <w:sz w:val="22"/>
          <w:szCs w:val="22"/>
        </w:rPr>
      </w:pPr>
      <w:r>
        <w:t xml:space="preserve">XRD, XRF, and CEC access is contingent on confirmation during Phase 0; if unavailable in-house at the Faculty, an external laboratory arrangement will be finalized and documented, with associated cost and turnaround time.</w:t>
      </w:r>
    </w:p>
    <w:p>
      <w:pPr>
        <w:pStyle w:val="ListParagraph"/>
        <w:numPr>
          <w:ilvl w:val="0"/>
          <w:numId w:val="1"/>
        </w:numPr>
        <w:spacing w:after="100" w:line="276"/>
        <w:rPr>
          <w:rFonts w:ascii="Calibri" w:cs="Calibri" w:eastAsia="Calibri" w:hAnsi="Calibri"/>
          <w:sz w:val="22"/>
          <w:szCs w:val="22"/>
        </w:rPr>
      </w:pPr>
      <w:r>
        <w:t xml:space="preserve">Sampling access is substantially de-risked by the candidate's direct working relationship, as a Teaching Assistant at the Faculty of Petroleum and Natural Gas Resources, with the original author of the Alaslaf deposit characterization, who can provide field guidance to the exact sampling locality.</w:t>
      </w:r>
    </w:p>
    <w:p>
      <w:pPr>
        <w:pStyle w:val="ListParagraph"/>
        <w:numPr>
          <w:ilvl w:val="0"/>
          <w:numId w:val="1"/>
        </w:numPr>
        <w:spacing w:after="100" w:line="276"/>
        <w:rPr>
          <w:rFonts w:ascii="Calibri" w:cs="Calibri" w:eastAsia="Calibri" w:hAnsi="Calibri"/>
          <w:sz w:val="22"/>
          <w:szCs w:val="22"/>
        </w:rPr>
      </w:pPr>
      <w:r>
        <w:t xml:space="preserve">This proposal deliberately excludes shale-inhibition/wellbore-stability testing, since physical shale sampling from a specific Yemeni formation could not be reliably secured for this program; the scope is accordingly focused on mud-property benchmarking rather than formation-specific compatibility.</w:t>
      </w:r>
    </w:p>
    <w:p>
      <w:pPr>
        <w:pStyle w:val="ListParagraph"/>
        <w:numPr>
          <w:ilvl w:val="0"/>
          <w:numId w:val="1"/>
        </w:numPr>
        <w:spacing w:after="100" w:line="276"/>
        <w:rPr>
          <w:rFonts w:ascii="Calibri" w:cs="Calibri" w:eastAsia="Calibri" w:hAnsi="Calibri"/>
          <w:sz w:val="22"/>
          <w:szCs w:val="22"/>
        </w:rPr>
      </w:pPr>
      <w:r>
        <w:t xml:space="preserve">Sampling permissions, field safety protocols appropriate to current regional conditions in Lahij Governorate, and archiving of raw DOE and characterization data will be documented as part of the final methodology chapter.</w:t>
      </w:r>
    </w:p>
    <w:p>
      <w:pPr>
        <w:pStyle w:val="Heading1"/>
        <w:spacing w:after="160" w:before="360"/>
      </w:pPr>
      <w:r>
        <w:t xml:space="preserve">11. Literature Note</w:t>
      </w:r>
    </w:p>
    <w:p>
      <w:pPr>
        <w:spacing w:after="160" w:line="276"/>
      </w:pPr>
      <w:r>
        <w:rPr>
          <w:rFonts w:ascii="Calibri" w:cs="Calibri" w:eastAsia="Calibri" w:hAnsi="Calibri"/>
          <w:sz w:val="22"/>
          <w:szCs w:val="22"/>
        </w:rPr>
        <w:t xml:space="preserve">This proposal is grounded in the internationally established genre of evaluating locally sourced clays as drilling-fluid additives, most directly Khan et al. (2017) on Pakistani bentonite, alongside comparable studies from Nigeria, Saudi Arabia, and Egypt. It builds directly on the only existing systematic, XRD-confirmed characterization of a Yemeni bentonite deposit (Alshameri et al., 2013, Alaslaf, Lahij Governorate), extending that mineralogical and chemical dataset into a drilling-fluid performance and API-compliance context for the first time.</w:t>
      </w:r>
    </w:p>
    <w:p>
      <w:pPr>
        <w:spacing w:after="160" w:line="276"/>
      </w:pPr>
      <w:r>
        <w:rPr>
          <w:rFonts w:ascii="Calibri" w:cs="Calibri" w:eastAsia="Calibri" w:hAnsi="Calibri"/>
          <w:sz w:val="22"/>
          <w:szCs w:val="22"/>
        </w:rPr>
        <w:t xml:space="preserve">Supporting regional context is drawn from Zaid et al. (2021), which documents montmorillonite-bearing expansive soils as an active geological hazard in Yemen's volcanic terrain (Taiz) — confirming that montmorillonite-forming processes are not unique to the Alaslaf locality, though this source's own citation of the Alaslaf study under the name "Aref et al. (2014)" has been reconciled against the original publication. Ahmed (2019) provides a chemistry-inferred (not XRD-confirmed) indication of montmorillonitic clay at Al-Harur, Abyan; the author explicitly characterizes this material as low-grade and suited only to cement manufacture, and it formed in a distinct alluvial-eolian depositional setting rather than a volcanic-tuff one. It is cited here only as a cautionary secondary data point, not as evidence of a second viable bentonite deposit.</w:t>
      </w:r>
    </w:p>
    <w:p>
      <w:pPr>
        <w:spacing w:after="160" w:line="276"/>
      </w:pPr>
      <w:r>
        <w:rPr>
          <w:rFonts w:ascii="Calibri" w:cs="Calibri" w:eastAsia="Calibri" w:hAnsi="Calibri"/>
          <w:sz w:val="22"/>
          <w:szCs w:val="22"/>
        </w:rPr>
        <w:t xml:space="preserve">A full, properly cited literature review will be compiled during Phase 0 under the supervisor's guidance, rather than asserted here in preliminary form.</w:t>
      </w:r>
    </w:p>
    <w:p>
      <w:pPr>
        <w:pStyle w:val="Heading1"/>
        <w:spacing w:after="160" w:before="360"/>
      </w:pPr>
      <w:r>
        <w:t xml:space="preserve">12. References</w:t>
      </w:r>
    </w:p>
    <w:p>
      <w:pPr>
        <w:spacing w:after="160" w:line="276"/>
      </w:pPr>
      <w:r>
        <w:rPr>
          <w:rFonts w:ascii="Calibri" w:cs="Calibri" w:eastAsia="Calibri" w:hAnsi="Calibri"/>
          <w:sz w:val="22"/>
          <w:szCs w:val="22"/>
        </w:rPr>
        <w:t xml:space="preserve">Ahmed, N.M.M. (2019). Preliminary geological and geochemical study of clay at Al-Harur area, Abyan governorate, Yemen. Univ. Aden J. Nat. and Appl. Sc., 23(2), 425–441.</w:t>
      </w:r>
    </w:p>
    <w:p>
      <w:pPr>
        <w:spacing w:after="160" w:line="276"/>
      </w:pPr>
      <w:r>
        <w:rPr>
          <w:rFonts w:ascii="Calibri" w:cs="Calibri" w:eastAsia="Calibri" w:hAnsi="Calibri"/>
          <w:sz w:val="22"/>
          <w:szCs w:val="22"/>
        </w:rPr>
        <w:t xml:space="preserve">Alshameri, A., Abood, A.R., Yan, C., &amp; Muhammad, A.M. (2013). Characteristics, modification and environmental application of Yemen's natural bentonite. Arabian Journal of Geosciences, 7(9), 3243–3253.</w:t>
      </w:r>
    </w:p>
    <w:p>
      <w:pPr>
        <w:spacing w:after="160" w:line="276"/>
      </w:pPr>
      <w:r>
        <w:rPr>
          <w:rFonts w:ascii="Calibri" w:cs="Calibri" w:eastAsia="Calibri" w:hAnsi="Calibri"/>
          <w:sz w:val="22"/>
          <w:szCs w:val="22"/>
        </w:rPr>
        <w:t xml:space="preserve">Khan, K., Khan, S.A., Saleem, M.U., &amp; Ashraf, M. (2017). Improvement of Locally Available Raw Bentonite for Use as Drilling Mud. The Open Construction and Building Technology Journal, 11, 274–284.</w:t>
      </w:r>
    </w:p>
    <w:p>
      <w:pPr>
        <w:spacing w:after="160" w:line="276"/>
      </w:pPr>
      <w:r>
        <w:rPr>
          <w:rFonts w:ascii="Calibri" w:cs="Calibri" w:eastAsia="Calibri" w:hAnsi="Calibri"/>
          <w:sz w:val="22"/>
          <w:szCs w:val="22"/>
        </w:rPr>
        <w:t xml:space="preserve">Zaid, H.A.H., Jamaluddin, T.A., &amp; Arifin, M.H. (2021). Overview of slope stability, earthquakes, flash floods and expansive soil hazards in the Republic of Yemen. Bulletin of the Geological Society of Malaysia, 71, 71–78.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2026-07-09T21:00:24.521Z</dcterms:created>
  <dcterms:modified xsi:type="dcterms:W3CDTF">2026-07-09T21:00:24.535Z</dcterms:modified>
</cp:coreProperties>
</file>

<file path=docProps/custom.xml><?xml version="1.0" encoding="utf-8"?>
<Properties xmlns="http://schemas.openxmlformats.org/officeDocument/2006/custom-properties" xmlns:vt="http://schemas.openxmlformats.org/officeDocument/2006/docPropsVTypes"/>
</file>