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e recursos do Vectora</w:t>
      </w:r>
    </w:p>
    <w:p>
      <w:pPr>
        <w:pStyle w:val="Heading1"/>
      </w:pPr>
      <w:r>
        <w:t>Visão do produto</w:t>
      </w:r>
    </w:p>
    <w:p>
      <w:r>
        <w:t>O Vectora é um harness de engenharia de software orientado por agentes. O modelo de linguagem fornece raciocínio e geração de tokens; o Vectora fornece o sistema operacional do agente: contexto, memória, ferramentas, execução, permissões, persistência, observabilidade e verificação. Essa separação permite que modelos hospedados, BYOK, locais ou executados em serviços compatíveis usem o mesmo ciclo de trabalho.</w:t>
      </w:r>
    </w:p>
    <w:p>
      <w:r>
        <w:t>Este documento consolida a arquitetura funcional do Vectora, as capacidades expostas pela implementação, o histórico registrado no changelog e a direção das issues e PRs abertas. A descrição de produto considera implementados os recursos da plataforma descritos no repositório. VEXT, Vectora 2.0 e a migração do backend para Rust permanecem como evolução planejada e não são apresentados como parte do runtime atual.</w:t>
      </w:r>
    </w:p>
    <w:p>
      <w:pPr>
        <w:pStyle w:val="Heading1"/>
      </w:pPr>
      <w:r>
        <w:t>Arquitetura em camadas</w:t>
      </w:r>
    </w:p>
    <w:p>
      <w:pPr>
        <w:spacing w:after="160"/>
        <w:ind w:left="317"/>
      </w:pPr>
      <w:r>
        <w:rPr>
          <w:rFonts w:ascii="Consolas" w:hAnsi="Consolas"/>
          <w:color w:val="282828"/>
          <w:sz w:val="17"/>
        </w:rPr>
        <w:t>Interface web ou desktop</w:t>
        <w:br/>
        <w:t xml:space="preserve">        |</w:t>
        <w:br/>
        <w:t xml:space="preserve">        v</w:t>
        <w:br/>
        <w:t>React + Vite + TanStack Router + Zustand + i18n Paraglide</w:t>
        <w:br/>
        <w:t xml:space="preserve">        |</w:t>
        <w:br/>
        <w:t xml:space="preserve">        v</w:t>
        <w:br/>
        <w:t>FastAPI, SSE, autenticação, RBAC e contratos Pydantic</w:t>
        <w:br/>
        <w:t xml:space="preserve">        |</w:t>
        <w:br/>
        <w:t xml:space="preserve">        v</w:t>
        <w:br/>
        <w:t>Motor nativo de conversa</w:t>
        <w:br/>
        <w:t>loop imperativo -&gt; ChatClient -&gt; tools -&gt; resultados -&gt; próximo turno</w:t>
        <w:br/>
        <w:t xml:space="preserve">        |</w:t>
        <w:br/>
        <w:t xml:space="preserve">        +--&gt; providers de modelos, mídia e embeddings</w:t>
        <w:br/>
        <w:t xml:space="preserve">        +--&gt; SessionStore, memória, RAG, Context Graph e artifacts</w:t>
        <w:br/>
        <w:t xml:space="preserve">        +--&gt; workbenches e integrações externas</w:t>
        <w:br/>
        <w:t xml:space="preserve">        +--&gt; sandbox, HITL, budgets e telemetria</w:t>
        <w:br/>
        <w:t xml:space="preserve">        |</w:t>
        <w:br/>
        <w:t xml:space="preserve">        v</w:t>
        <w:br/>
        <w:t>SQLite/LanceDB ou PostgreSQL/Qdrant/Redis/NATS</w:t>
        <w:br/>
        <w:t xml:space="preserve">        |</w:t>
        <w:br/>
        <w:t xml:space="preserve">        v</w:t>
        <w:br/>
        <w:t>Electron, Chromium, sidecars e Docker quando necessários</w:t>
      </w:r>
    </w:p>
    <w:p>
      <w:r>
        <w:t>O backend permanece ativo tanto no modo web quanto no desktop. No modo web, a SPA é servida por FastAPI e o Electron pode funcionar oculto como fornecedor de Chromium, Node embutido, IPC e CDP. No modo desktop, a mesma aplicação é apresentada em uma janela Electron e conversa com o backend por named pipe ou Unix socket, sem transformar o IPC em uma API TCP.</w:t>
      </w:r>
    </w:p>
    <w:p>
      <w:pPr>
        <w:pStyle w:val="Heading2"/>
      </w:pPr>
      <w:r>
        <w:t>Monorepo</w:t>
      </w:r>
    </w:p>
    <w:p>
      <w:pPr>
        <w:pStyle w:val="ListBullet"/>
        <w:spacing w:after="40"/>
      </w:pPr>
      <w:r>
        <w:t>`vectora/`: produto principal, com backend Python, frontend React, Electron e testes.</w:t>
      </w:r>
    </w:p>
    <w:p>
      <w:pPr>
        <w:pStyle w:val="ListBullet"/>
        <w:spacing w:after="40"/>
      </w:pPr>
      <w:r>
        <w:t>`services/`: workers e integrações de gateway e distribuição de atualizações.</w:t>
      </w:r>
    </w:p>
    <w:p>
      <w:pPr>
        <w:pStyle w:val="ListBullet"/>
        <w:spacing w:after="40"/>
      </w:pPr>
      <w:r>
        <w:t>`company/`: superfícies comerciais e administrativas.</w:t>
      </w:r>
    </w:p>
    <w:p>
      <w:pPr>
        <w:pStyle w:val="ListBullet"/>
        <w:spacing w:after="40"/>
      </w:pPr>
      <w:r>
        <w:t>`docs/`: documentação multilíngue.</w:t>
      </w:r>
    </w:p>
    <w:p>
      <w:pPr>
        <w:pStyle w:val="ListBullet"/>
        <w:spacing w:after="40"/>
      </w:pPr>
      <w:r>
        <w:t>`SConstruct`: orquestração de instalação, lint, testes, frontend, sidecars e releases.</w:t>
      </w:r>
    </w:p>
    <w:p>
      <w:pPr>
        <w:pStyle w:val="Heading1"/>
      </w:pPr>
      <w:r>
        <w:t>Motor de agente</w:t>
      </w:r>
    </w:p>
    <w:p>
      <w:r>
        <w:t>O ponto de entrada é backend/engine/conversation_loop.py::run_conversation. O motor usa um loop while explícito, relê o estado persistido, chama o cliente de chat em streaming, executa chamadas de ferramentas, publica eventos e repete até concluir, atingir um budget, ser interrompido ou falhar com diagnóstico observável.</w:t>
      </w:r>
    </w:p>
    <w:p>
      <w:r>
        <w:t>O agent_factory monta o agente por usuário, modo e workspace. Ele resolve o TOOL_REGISTRY, aplica políticas de ferramentas, liga subagentes e HITL e injeta o contexto tipado. A arquitetura não depende de um grafo compilado: tools são a extensão principal e cada chamada é independentemente validável.</w:t>
      </w:r>
    </w:p>
    <w:p>
      <w:r>
        <w:t>O ciclo suporta:</w:t>
      </w:r>
    </w:p>
    <w:p>
      <w:pPr>
        <w:pStyle w:val="ListBullet"/>
        <w:spacing w:after="40"/>
      </w:pPr>
      <w:r>
        <w:t>streaming de texto, chamadas de tools, resultados, tarefas, perguntas, aprovações, métricas, arquivos e erros;</w:t>
      </w:r>
    </w:p>
    <w:p>
      <w:pPr>
        <w:pStyle w:val="ListBullet"/>
        <w:spacing w:after="40"/>
      </w:pPr>
      <w:r>
        <w:t>execução assíncrona de lotes de tools com associação estável entre chamada e resultado;</w:t>
      </w:r>
    </w:p>
    <w:p>
      <w:pPr>
        <w:pStyle w:val="ListBullet"/>
        <w:spacing w:after="40"/>
      </w:pPr>
      <w:r>
        <w:t>compactação de contexto preservando instruções, tool calls e resultados pareados;</w:t>
      </w:r>
    </w:p>
    <w:p>
      <w:pPr>
        <w:pStyle w:val="ListBullet"/>
        <w:spacing w:after="40"/>
      </w:pPr>
      <w:r>
        <w:t>detecção de chamadas repetidas e loops presos;</w:t>
      </w:r>
    </w:p>
    <w:p>
      <w:pPr>
        <w:pStyle w:val="ListBullet"/>
        <w:spacing w:after="40"/>
      </w:pPr>
      <w:r>
        <w:t>budgets de tokens, ferramentas, subagentes, rede, mídia e turnos;</w:t>
      </w:r>
    </w:p>
    <w:p>
      <w:pPr>
        <w:pStyle w:val="ListBullet"/>
        <w:spacing w:after="40"/>
      </w:pPr>
      <w:r>
        <w:t>quality gates e juiz LLM para objetivos que precisam de verificação;</w:t>
      </w:r>
    </w:p>
    <w:p>
      <w:pPr>
        <w:pStyle w:val="ListBullet"/>
        <w:spacing w:after="40"/>
      </w:pPr>
      <w:r>
        <w:t>retomada após aprovação humana, interrupção e falhas transitórias;</w:t>
      </w:r>
    </w:p>
    <w:p>
      <w:pPr>
        <w:pStyle w:val="ListBullet"/>
        <w:spacing w:after="40"/>
      </w:pPr>
      <w:r>
        <w:t>cancelamento autenticado de tarefas e watchdog de liveness para subagentes.</w:t>
      </w:r>
    </w:p>
    <w:p>
      <w:pPr>
        <w:pStyle w:val="Heading2"/>
      </w:pPr>
      <w:r>
        <w:t>Subagentes e SOULs</w:t>
      </w:r>
    </w:p>
    <w:p>
      <w:r>
        <w:t>O catálogo de agentes especializados inclui coder, search, reviewer, tester, devops, writer-docs, data-analyst, security-auditor, browser-qa e planner. Cada SOUL possui identidade, descrição, prompt, orçamento e conjunto de tools aplicado no binding de function-calling.</w:t>
      </w:r>
    </w:p>
    <w:p>
      <w:r>
        <w:t>Subagentes recebem subthreads rastreáveis, correlation IDs, tokens de capacidade e o mesmo contexto de segurança do agente pai. Workspaces e operações Git que alteram arquivos podem usar worktrees isoladas. A política do agente principal é propagada e uma SOUL não pode usar tools fora do escopo RBAC.</w:t>
      </w:r>
    </w:p>
    <w:p>
      <w:pPr>
        <w:pStyle w:val="Heading1"/>
      </w:pPr>
      <w:r>
        <w:t>Tools e extensibilidade</w:t>
      </w:r>
    </w:p>
    <w:p>
      <w:r>
        <w:t>O Vectora oferece mais de 160 tools nativas, registradas por schemas derivados de assinaturas e docstrings. A camada de tools é schema-first, assíncrona e defensiva: falhas viram resultados textuais para o agente, com logs estruturados, em vez de derrubar a conversa.</w:t>
      </w:r>
    </w:p>
    <w:p>
      <w:pPr>
        <w:pStyle w:val="Heading2"/>
      </w:pPr>
      <w:r>
        <w:t>Categorias principais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997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Recursos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Arquivos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leitura, escrita, edição, busca, listagem, artifacts e hooks pós-escrita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Terminal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comandos locais ou remotos, sessões persistentes, streaming, timeout e redaction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Git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status, log, diff, branches, checkout, commit, push, pull, stash, merge, worktrees e PRs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GitHub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issues, PRs, comentários, diffs e merge via CLI/API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Web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busca, fetch, crawl, map, extração, preview e YouTube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Browser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navegação, DOM, screenshots, cliques, formulários, uploads, dialogs, tabs, console, rede, tracing e DevTools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RAG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ingestão, embeddings, busca vetorial, busca textual, híbrida e retriever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Context Graph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construção, consulta, explicação, caminhos, impacto e atualização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Memória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salvar, consultar, remover, consolidar e versionar fatos, preferências e skills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Workspace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inventário, descrição, contexto, buckets e arquivos de configuração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Planejamento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planos persistentes, todos, perguntas estruturadas e pensamento sequencial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Automação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tarefas únicas, recorrentes, webhooks, boards, histórico e retomada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Mídia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geração/análise de imagem e vídeo, áudio, transcrição e texto para fala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Integrações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Gmail, Drive, Slack, Linear, Jira, Notion, Home Assistant e outros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MCP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consumo de servidores externos por stdio, HTTP e SSE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Utilitárias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tempo, hashes, base64, regex, JSON, JWT e HTTP controlado</w:t>
            </w:r>
          </w:p>
        </w:tc>
      </w:tr>
    </w:tbl>
    <w:p>
      <w:pPr>
        <w:spacing w:after="40"/>
      </w:pPr>
    </w:p>
    <w:p>
      <w:r>
        <w:t>O registry também agrupa tools por capacidade, resolve grupos compostos, impede ciclos e permite políticas por usuário, workspace, plugin e escopo global.</w:t>
      </w:r>
    </w:p>
    <w:p>
      <w:pPr>
        <w:pStyle w:val="Heading2"/>
      </w:pPr>
      <w:r>
        <w:t>MCP e Library</w:t>
      </w:r>
    </w:p>
    <w:p>
      <w:r>
        <w:t>O Vectora atua como cliente MCP. Ele descobre, instala, atualiza e remove conectores de catálogos local, curado, enterprise e oficial. As entradas são validadas, versionadas por lockfile, verificadas por digest e classificadas por confiança. Credenciais não aparecem em previews, URLs ou auditoria.</w:t>
      </w:r>
    </w:p>
    <w:p>
      <w:r>
        <w:t>Skills e plugins podem ser instalados em escopos de usuário, workspace, projeto ou runtime. A resolução usa frontmatter, SemVer, dependências, ciclos, política de sandbox e allowlists. O carregamento de schemas pode ser adiado para reduzir o custo de contexto.</w:t>
      </w:r>
    </w:p>
    <w:p>
      <w:pPr>
        <w:pStyle w:val="Heading1"/>
      </w:pPr>
      <w:r>
        <w:t>Workbenches</w:t>
      </w:r>
    </w:p>
    <w:p>
      <w:r>
        <w:t>O workbench é o ambiente operacional compartilhado entre usuário e agente. Ele existe em modo Assistente, com chat como superfície principal, e modo IDE, com editor e painéis ancorados. A capacidade é a mesma nos dois layouts.</w:t>
      </w:r>
    </w:p>
    <w:p>
      <w:pPr>
        <w:pStyle w:val="Heading2"/>
      </w:pPr>
      <w:r>
        <w:t>Arquivos</w:t>
      </w:r>
    </w:p>
    <w:p>
      <w:r>
        <w:t>Árvore do workspace, criação de arquivos e pastas, busca, refresh, renomeação, exclusão, lixeira, fixação, histórico Git, Monaco, janelas flutuantes e visualização de texto, imagem, áudio, vídeo e documentos.</w:t>
      </w:r>
    </w:p>
    <w:p>
      <w:pPr>
        <w:pStyle w:val="Heading2"/>
      </w:pPr>
      <w:r>
        <w:t>Git e Diff</w:t>
      </w:r>
    </w:p>
    <w:p>
      <w:r>
        <w:t>Mudanças staged, unstaged e untracked, patches por arquivo, stage/unstage, histórico de commits, branches, sync, stash, worktrees, comparação e criação de PR. O estado é sempre derivado do backend e do repositório atual.</w:t>
      </w:r>
    </w:p>
    <w:p>
      <w:pPr>
        <w:pStyle w:val="Heading2"/>
      </w:pPr>
      <w:r>
        <w:t>Terminal</w:t>
      </w:r>
    </w:p>
    <w:p>
      <w:r>
        <w:t>PTY real com xterm.js, múltiplas sessões, nomes, leitura e escrita assíncronas, buffers consultáveis, redaction e integração com as sessões persistentes de terminal do agente.</w:t>
      </w:r>
    </w:p>
    <w:p>
      <w:pPr>
        <w:pStyle w:val="Heading2"/>
      </w:pPr>
      <w:r>
        <w:t>Preview e Browser</w:t>
      </w:r>
    </w:p>
    <w:p>
      <w:r>
        <w:t>Servidores de desenvolvimento são descobertos por configuração ou adicionados manualmente, iniciados, acompanhados e encerrados pelo workbench. O Browser usa WebContentsView e Chromium do Electron, com perfis persistentes e sessões isoladas por workspace. O backend controla páginas via Playwright conectado ao CDP já aberto pelo Electron.</w:t>
      </w:r>
    </w:p>
    <w:p>
      <w:r>
        <w:t>As tools cobrem navegação, leitura de DOM e acessibilidade, formulários, upload, screenshots, console, rede, tracing, heap snapshots, Lighthouse e políticas para dialogs. A criação de abas é responsabilidade da UI/ponte do Electron; o CDP embutido não é tratado como se pudesse criar uma WebContentsView arbitrária.</w:t>
      </w:r>
    </w:p>
    <w:p>
      <w:pPr>
        <w:pStyle w:val="Heading2"/>
      </w:pPr>
      <w:r>
        <w:t>Memory e Context Graph</w:t>
      </w:r>
    </w:p>
    <w:p>
      <w:r>
        <w:t>Memory exibe buscas RAG, resultados web, buckets, fatos, skills e consolidações. Context Graph constrói AST, relações semânticas, clusters e impacto; permite consultas, caminhos, explicações, exportação e perguntas sugeridas.</w:t>
      </w:r>
    </w:p>
    <w:p>
      <w:pPr>
        <w:pStyle w:val="Heading2"/>
      </w:pPr>
      <w:r>
        <w:t>Tasks, Search e Plan</w:t>
      </w:r>
    </w:p>
    <w:p>
      <w:r>
        <w:t>Tasks mostra rotinas, webhooks, execuções, logs e threads de resultado. Search pesquisa o workspace com busca literal ou regex. Plan lista artifacts e arquivos tocados, mantendo o plano revisável e persistido.</w:t>
      </w:r>
    </w:p>
    <w:p>
      <w:pPr>
        <w:pStyle w:val="Heading1"/>
      </w:pPr>
      <w:r>
        <w:t>Providers e modelos</w:t>
      </w:r>
    </w:p>
    <w:p>
      <w:r>
        <w:t>O roteamento unificado conecta clientes para OpenAI, Anthropic, Google, Cohere, Ollama, OpenRouter, 9Router, Voyage e llama.cpp. O catálogo de modelos registra provider, modelo, modalidade, origem, metadados e capacidades declaradas.</w:t>
      </w:r>
    </w:p>
    <w:p>
      <w:r>
        <w:t>O sistema suporta:</w:t>
      </w:r>
    </w:p>
    <w:p>
      <w:pPr>
        <w:pStyle w:val="ListBullet"/>
        <w:spacing w:after="40"/>
      </w:pPr>
      <w:r>
        <w:t>modelos remotos, BYOK e serviços OpenAI-compatible;</w:t>
      </w:r>
    </w:p>
    <w:p>
      <w:pPr>
        <w:pStyle w:val="ListBullet"/>
        <w:spacing w:after="40"/>
      </w:pPr>
      <w:r>
        <w:t>Ollama local e Docker Model Runner;</w:t>
      </w:r>
    </w:p>
    <w:p>
      <w:pPr>
        <w:pStyle w:val="ListBullet"/>
        <w:spacing w:after="40"/>
      </w:pPr>
      <w:r>
        <w:t>llama.cpp externo ou runtime gerenciado pelo Vectora;</w:t>
      </w:r>
    </w:p>
    <w:p>
      <w:pPr>
        <w:pStyle w:val="ListBullet"/>
        <w:spacing w:after="40"/>
      </w:pPr>
      <w:r>
        <w:t>descoberta de GGUF no Hugging Face, seleção de variante, download, retomada, cancelamento, checksum e espaço em disco;</w:t>
      </w:r>
    </w:p>
    <w:p>
      <w:pPr>
        <w:pStyle w:val="ListBullet"/>
        <w:spacing w:after="40"/>
      </w:pPr>
      <w:r>
        <w:t>instalação e ciclo de vida de sidecars locais;</w:t>
      </w:r>
    </w:p>
    <w:p>
      <w:pPr>
        <w:pStyle w:val="ListBullet"/>
        <w:spacing w:after="40"/>
      </w:pPr>
      <w:r>
        <w:t>fallback de imagem quando o modelo ativo não aceita visão;</w:t>
      </w:r>
    </w:p>
    <w:p>
      <w:pPr>
        <w:pStyle w:val="ListBullet"/>
        <w:spacing w:after="40"/>
      </w:pPr>
      <w:r>
        <w:t>seleção independente de chat, embeddings, reranking, transcrição e mídia;</w:t>
      </w:r>
    </w:p>
    <w:p>
      <w:pPr>
        <w:pStyle w:val="ListBullet"/>
        <w:spacing w:after="40"/>
      </w:pPr>
      <w:r>
        <w:t>identificação de cobrança BYOK e separação de quota compartilhada;</w:t>
      </w:r>
    </w:p>
    <w:p>
      <w:pPr>
        <w:pStyle w:val="ListBullet"/>
        <w:spacing w:after="40"/>
      </w:pPr>
      <w:r>
        <w:t>testes de conexão, readiness, `/v1/models` e diagnóstico de provider.</w:t>
      </w:r>
    </w:p>
    <w:p>
      <w:r>
        <w:t>A configuração é centralizada em um registry declarativo. O wizard valida conexão antes de salvar credenciais, modelo e provider ativo. Chaves aparecem mascaradas e alterações atualizam ambiente, .env, settings e caches sem exigir reinício.</w:t>
      </w:r>
    </w:p>
    <w:p>
      <w:pPr>
        <w:pStyle w:val="Heading1"/>
      </w:pPr>
      <w:r>
        <w:t>Persistência, memória e RAG</w:t>
      </w:r>
    </w:p>
    <w:p>
      <w:r>
        <w:t>O modo lite usa SQLite, LanceDB e NATS ou memória local. O modo complete adiciona PostgreSQL, Qdrant e Redis. Usuários, sessões, auditoria e settings continuam em SQLite para que a identidade local não dependa de serviços distribuídos.</w:t>
      </w:r>
    </w:p>
    <w:p>
      <w:r>
        <w:t>O storage oferece:</w:t>
      </w:r>
    </w:p>
    <w:p>
      <w:pPr>
        <w:pStyle w:val="ListBullet"/>
        <w:spacing w:after="40"/>
      </w:pPr>
      <w:r>
        <w:t>migrations idempotentes por checksum, histórico e detecção de drift;</w:t>
      </w:r>
    </w:p>
    <w:p>
      <w:pPr>
        <w:pStyle w:val="ListBullet"/>
        <w:spacing w:after="40"/>
      </w:pPr>
      <w:r>
        <w:t>SessionStore nativo para mensagens, tool calls, resultados e retomadas;</w:t>
      </w:r>
    </w:p>
    <w:p>
      <w:pPr>
        <w:pStyle w:val="ListBullet"/>
        <w:spacing w:after="40"/>
      </w:pPr>
      <w:r>
        <w:t>checkpoints, artifacts, eventos SSE e tombstones de threads;</w:t>
      </w:r>
    </w:p>
    <w:p>
      <w:pPr>
        <w:pStyle w:val="ListBullet"/>
        <w:spacing w:after="40"/>
      </w:pPr>
      <w:r>
        <w:t>LanceDB local ou Qdrant remoto, busca densa, textual e híbrida;</w:t>
      </w:r>
    </w:p>
    <w:p>
      <w:pPr>
        <w:pStyle w:val="ListBullet"/>
        <w:spacing w:after="40"/>
      </w:pPr>
      <w:r>
        <w:t>filas persistentes de embeddings, retries, dead-letter queue, circuit breaker e reconciliação;</w:t>
      </w:r>
    </w:p>
    <w:p>
      <w:pPr>
        <w:pStyle w:val="ListBullet"/>
        <w:spacing w:after="40"/>
      </w:pPr>
      <w:r>
        <w:t>ingestão de diretórios com `.gitignore`, `.vectoraignore`, filtros, chunks, limites e progresso;</w:t>
      </w:r>
    </w:p>
    <w:p>
      <w:pPr>
        <w:pStyle w:val="ListBullet"/>
        <w:spacing w:after="40"/>
      </w:pPr>
      <w:r>
        <w:t>buckets RAG ativáveis, reindexáveis, protegidos contra exclusão em uso e publicáveis;</w:t>
      </w:r>
    </w:p>
    <w:p>
      <w:pPr>
        <w:pStyle w:val="ListBullet"/>
        <w:spacing w:after="40"/>
      </w:pPr>
      <w:r>
        <w:t>memória de longo prazo com fatos, decisões, armadilhas, preferências, versões e aprovação de consolidação;</w:t>
      </w:r>
    </w:p>
    <w:p>
      <w:pPr>
        <w:pStyle w:val="ListBullet"/>
        <w:spacing w:after="40"/>
      </w:pPr>
      <w:r>
        <w:t>exportação, backup, restauração e migração entre backends.</w:t>
      </w:r>
    </w:p>
    <w:p>
      <w:pPr>
        <w:pStyle w:val="Heading1"/>
      </w:pPr>
      <w:r>
        <w:t>Segurança e governança</w:t>
      </w:r>
    </w:p>
    <w:p>
      <w:r>
        <w:t>O Vectora combina autenticação, RBAC, filesystem policy, HITL, sandbox e telemetria.</w:t>
      </w:r>
    </w:p>
    <w:p>
      <w:pPr>
        <w:pStyle w:val="ListBullet"/>
        <w:spacing w:after="40"/>
      </w:pPr>
      <w:r>
        <w:t>Auth suporta signup, signin, refresh, signout, recuperação de senha, cookies httpOnly, JWT, tokens de serviço e OIDC/OAuth com PKCE e JWKS.</w:t>
      </w:r>
    </w:p>
    <w:p>
      <w:pPr>
        <w:pStyle w:val="ListBullet"/>
        <w:spacing w:after="40"/>
      </w:pPr>
      <w:r>
        <w:t>Roles root, admin, member e viewer controlam recursos, tools e administração.</w:t>
      </w:r>
    </w:p>
    <w:p>
      <w:pPr>
        <w:pStyle w:val="ListBullet"/>
        <w:spacing w:after="40"/>
      </w:pPr>
      <w:r>
        <w:t>A política de filesystem avalia regras em ordem, nega por padrão e bloqueia `.env`, chaves privadas, `.ssh`, `.aws` e pseudo-filesystems.</w:t>
      </w:r>
    </w:p>
    <w:p>
      <w:pPr>
        <w:pStyle w:val="ListBullet"/>
        <w:spacing w:after="40"/>
      </w:pPr>
      <w:r>
        <w:t>Aprovações persistem metadados seguros, allowlists por workspace, expiração, idempotência e revogação por identificador opaco.</w:t>
      </w:r>
    </w:p>
    <w:p>
      <w:pPr>
        <w:pStyle w:val="ListBullet"/>
        <w:spacing w:after="40"/>
      </w:pPr>
      <w:r>
        <w:t>O modo de permissão pode perguntar, aceitar edições, planejar, executar automaticamente ou exigir revisão.</w:t>
      </w:r>
    </w:p>
    <w:p>
      <w:pPr>
        <w:pStyle w:val="ListBullet"/>
        <w:spacing w:after="40"/>
      </w:pPr>
      <w:r>
        <w:t>Prompt injection é tratado como conteúdo não confiável quando chega de arquivos, páginas ou resultados de tools.</w:t>
      </w:r>
    </w:p>
    <w:p>
      <w:pPr>
        <w:pStyle w:val="ListBullet"/>
        <w:spacing w:after="40"/>
      </w:pPr>
      <w:r>
        <w:t>Sandbox pode usar local, Docker, SSH, Modal, macOS Seatbelt, Singularity ou Linux nativo, com caminhos read-only/read-write, máscaras, quotas, timeout, rlimits, namespaces, seccomp e rede controlada.</w:t>
      </w:r>
    </w:p>
    <w:p>
      <w:pPr>
        <w:pStyle w:val="ListBullet"/>
        <w:spacing w:after="40"/>
      </w:pPr>
      <w:r>
        <w:t>O modo de desktop usa IPC e não abre TCP para o renderer; o modo web expõe a API autenticada.</w:t>
      </w:r>
    </w:p>
    <w:p>
      <w:pPr>
        <w:pStyle w:val="ListBullet"/>
        <w:spacing w:after="40"/>
      </w:pPr>
      <w:r>
        <w:t>Telemetria redige tokens, cookies, senhas, headers e argumentos sensíveis, mantendo métricas agregadas e auditáveis.</w:t>
      </w:r>
    </w:p>
    <w:p>
      <w:pPr>
        <w:pStyle w:val="Heading1"/>
      </w:pPr>
      <w:r>
        <w:t>Automação, integrações e operação</w:t>
      </w:r>
    </w:p>
    <w:p>
      <w:r>
        <w:t>O scheduler cria tarefas únicas, recorrentes, manuais ou acionadas por webhook. Cron e linguagem natural respeitam o fuso do usuário; runs têm orçamento, prioridade, retries, watchdog, cancelamento, retomada e quality gates. GitHub, GitLab, Linear, Slack e e-mail podem alimentar tarefas e Kanban por eventos idempotentes.</w:t>
      </w:r>
    </w:p>
    <w:p>
      <w:r>
        <w:t>O lifecycle do servidor aplica migrations, inicia cache/KV, NATS, workers de embedding, scheduler, consolidação de memória, gateway e Electron, e encerra sidecars com timeout e cleanup. Docker Compose fornece PostgreSQL, Redis e Qdrant locais para o modo complete. Atualizações desktop usam manifests, hashes, canais por plataforma, rollout gradual, backups rotativos e rollback.</w:t>
      </w:r>
    </w:p>
    <w:p>
      <w:pPr>
        <w:pStyle w:val="Heading1"/>
      </w:pPr>
      <w:r>
        <w:t>Frontend e experiência</w:t>
      </w:r>
    </w:p>
    <w:p>
      <w:r>
        <w:t>O frontend é uma SPA React com Vite, TanStack Router, Zustand, Paraglide i18n e componentes de workbench. O backend serve os bundles estáticos em produção. O estado crítico vem do backend; caches usam stale-while-revalidate.</w:t>
      </w:r>
    </w:p>
    <w:p>
      <w:r>
        <w:t>A interface inclui onboarding, autenticação, sessões Chat e Dev, seleção de workspace, modelos e providers, settings, Library, ferramentas, plugins, Skills, memória, Context Graph, Kanban, feedback, administração, billing, atualizações e compartilhamento de threads.</w:t>
      </w:r>
    </w:p>
    <w:p>
      <w:r>
        <w:t>Mensagens multimodais, attachments, tool calls, perguntas, aprovações, arquivos alterados, citations, planos, subagentes e métricas são renderizados a partir de eventos tipados. A aplicação mantém histórico de threads e indicadores de atividade baseados em respostas persistidas do agente.</w:t>
      </w:r>
    </w:p>
    <w:p>
      <w:pPr>
        <w:pStyle w:val="Heading1"/>
      </w:pPr>
      <w:r>
        <w:t>Testes e verificabilidade</w:t>
      </w:r>
    </w:p>
    <w:p>
      <w:r>
        <w:t>A estratégia combina TDD, testes de erro e validação E2E. O monorepo usa SCons para executar backend, frontend, Electron, services e company com dependências lockadas.</w:t>
      </w:r>
    </w:p>
    <w:p>
      <w:pPr>
        <w:pStyle w:val="ListBullet"/>
        <w:spacing w:after="40"/>
      </w:pPr>
      <w:r>
        <w:t>Backend: pytest unitário, integração, lifecycle, storage, browser, sandbox, local LLM, stress e E2E.</w:t>
      </w:r>
    </w:p>
    <w:p>
      <w:pPr>
        <w:pStyle w:val="ListBullet"/>
        <w:spacing w:after="40"/>
      </w:pPr>
      <w:r>
        <w:t>Frontend: Vitest, Testing Library, typecheck, oxlint, testes de stores, hooks, rotas, streaming e workbenches.</w:t>
      </w:r>
    </w:p>
    <w:p>
      <w:pPr>
        <w:pStyle w:val="ListBullet"/>
        <w:spacing w:after="40"/>
      </w:pPr>
      <w:r>
        <w:t>Electron: testes de lifecycle, IPC, CDP, browser views, Docker CLI, runtime profile, cookies e updates.</w:t>
      </w:r>
    </w:p>
    <w:p>
      <w:pPr>
        <w:pStyle w:val="ListBullet"/>
        <w:spacing w:after="40"/>
      </w:pPr>
      <w:r>
        <w:t>Infra: Docker Compose, NATS, Redis, PostgreSQL, Qdrant, sidecars, health checks, crash recovery e shutdown.</w:t>
      </w:r>
    </w:p>
    <w:p>
      <w:pPr>
        <w:pStyle w:val="ListBullet"/>
        <w:spacing w:after="40"/>
      </w:pPr>
      <w:r>
        <w:t>Providers: descoberta, readiness, inferência, streaming, multimodalidade, tool calling, fallback e diagnóstico.</w:t>
      </w:r>
    </w:p>
    <w:p>
      <w:pPr>
        <w:pStyle w:val="ListBullet"/>
        <w:spacing w:after="40"/>
      </w:pPr>
      <w:r>
        <w:t>Contratos: schemas Pydantic, eventos SSE, registry de tools, storage e adapters vetoriais.</w:t>
      </w:r>
    </w:p>
    <w:p>
      <w:r>
        <w:t>A suíte deve cobrir caminho feliz e erro para vazio, nulo, duplicado, ordem trocada, payload inválido, timeout, cancelamento, concorrência, restart e perda de dependência. Os testes são a reconstrução executável dos contratos do produto.</w:t>
      </w:r>
    </w:p>
    <w:p>
      <w:pPr>
        <w:pStyle w:val="Heading1"/>
      </w:pPr>
      <w:r>
        <w:t>Estado implementado e evolução planejada</w:t>
      </w:r>
    </w:p>
    <w:p>
      <w:pPr>
        <w:pStyle w:val="Heading2"/>
      </w:pPr>
      <w:r>
        <w:t>Implementado na visão de produto</w:t>
      </w:r>
    </w:p>
    <w:p>
      <w:r>
        <w:t>O runtime atual reúne agente nativo, tools, subagentes, workbenches, providers, storage lite/complete, RAG, memória, Context Graph, sandbox, HITL, autenticação, integrações, automação, desktop/web, Docker e pipeline de testes. A linha 0.3.0 do changelog registra essa superfície e as correções de lifecycle, providers locais, modelos, browser, storage e release.</w:t>
      </w:r>
    </w:p>
    <w:p>
      <w:pPr>
        <w:pStyle w:val="Heading2"/>
      </w:pPr>
      <w:r>
        <w:t>Issues abertas de evolução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33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3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Direção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#72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Git Workbench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aproximar fluxo do GitHub Desktop, com operações mais previsíveis e observáveis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#79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GH Bot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integrar review bot ao ecossistema Vectora e à API privada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#271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Monaco e Godot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ampliar linguagens, temas e experiência de edição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#301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Godot tooling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adicionar análise semântica e automação específica de projetos Godot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#304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Contratos backend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consolidar schemas, eventos, storage e registry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#309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Perfis e settings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isolar dados por usuário e adotar `settings.json` editável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#310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Context Graph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evoluir visualização, comunidades e paridade com Graphify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#317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llama.cpp e Hugging Face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ampliar paridade de instalação, catálogo, runtime e providers locais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#318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Models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integrar JEV e Clef como categoria independente de modelos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#330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Pensamento no streaming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tornar o pensamento do agente visível durante execuções longas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#350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Vectora Pro e open source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completar entitlements e separar os limites de publicação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#351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NATS e Redis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elevar paridade sem perder a diferença entre lite e complete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#352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SQL e vetores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definir contratos canônicos e paridade SQLite/PostgreSQL/LanceDB/Qdrant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#353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Release e CI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tornar branches, milestones, reruns e artefatos determinísticos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#354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Bootstrap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unificar instalação, doctor, sidecars e lifecycle do dev stack</w:t>
            </w:r>
          </w:p>
        </w:tc>
      </w:tr>
      <w:tr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#366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Search e Browser</w:t>
            </w:r>
          </w:p>
        </w:tc>
        <w:tc>
          <w:tcPr>
            <w:tcW w:type="dxa" w:w="333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migrar pesquisa para Chromium/Electron e retirar a dependência operacional de Tavily</w:t>
            </w:r>
          </w:p>
        </w:tc>
      </w:tr>
    </w:tbl>
    <w:p>
      <w:pPr>
        <w:spacing w:after="40"/>
      </w:pPr>
    </w:p>
    <w:p>
      <w:pPr>
        <w:pStyle w:val="Heading2"/>
      </w:pPr>
      <w:r>
        <w:t>PRs abertas relevantes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</w:t>
            </w:r>
          </w:p>
        </w:tc>
        <w:tc>
          <w:tcPr>
            <w:tcW w:type="dxa" w:w="4997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#329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release 0.3.0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#340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release 0.2.1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#348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fundação do ecossistema VEXT e host isolado</w:t>
            </w:r>
          </w:p>
        </w:tc>
      </w:tr>
      <w:tr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#355</w:t>
            </w:r>
          </w:p>
        </w:tc>
        <w:tc>
          <w:tcPr>
            <w:tcW w:type="dxa" w:w="4997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providers locais, modelos e integração de workbenches</w:t>
            </w:r>
          </w:p>
        </w:tc>
      </w:tr>
    </w:tbl>
    <w:p>
      <w:pPr>
        <w:spacing w:after="40"/>
      </w:pPr>
    </w:p>
    <w:p>
      <w:pPr>
        <w:pStyle w:val="Heading1"/>
      </w:pPr>
      <w:r>
        <w:t>Roadmap explicitamente planejado</w:t>
      </w:r>
    </w:p>
    <w:p>
      <w:pPr>
        <w:pStyle w:val="Heading2"/>
      </w:pPr>
      <w:r>
        <w:t>VEXT</w:t>
      </w:r>
    </w:p>
    <w:p>
      <w:r>
        <w:t>VEXT é o formato de extensão do Vectora. O plano inclui artefato versionado e assinado, SDKs, builder CLI, manifesto de capacidades, compatibilidade, catálogo, scopes de instalação e host isolado. A extensão deve executar com permissões declaradas, dependências verificadas, frontend e backend separados e políticas de confiança. Esse trabalho é roadmap e não parte do runtime atual descrito acima.</w:t>
      </w:r>
    </w:p>
    <w:p>
      <w:pPr>
        <w:pStyle w:val="Heading2"/>
      </w:pPr>
      <w:r>
        <w:t>Vectora 2.0 e backend Rust</w:t>
      </w:r>
    </w:p>
    <w:p>
      <w:r>
        <w:t>Vectora 2.0 é a migração arquitetural de longo prazo para Rust. O objetivo é preservar contratos de API, eventos, tools, persistência, segurança e compatibilidade enquanto se substituem componentes Python de maior custo operacional. A migração deve ocorrer por fronteiras estáveis, com adapters, testes de contrato, execução paralela e rollback; não é uma reescrita implícita do produto 0.3.</w:t>
      </w:r>
    </w:p>
    <w:p>
      <w:pPr>
        <w:pStyle w:val="Heading2"/>
      </w:pPr>
      <w:r>
        <w:t>Pesquisa e navegação nativas</w:t>
      </w:r>
    </w:p>
    <w:p>
      <w:r>
        <w:t>A direção de #366 é fazer o Electron Chromium ser o runtime único de navegação: Playwright controla o CDP existente, o Browser Workbench e o agente compartilham ownership de tabs e perfis, e search/fetch/crawl/map usam contratos tipados, limites, cancelamento, SSRF guard e diagnóstico uniforme. Tavily pode ser mantido apenas durante a migração de paridade, depois removido da superfície operacional.</w:t>
      </w:r>
    </w:p>
    <w:p>
      <w:pPr>
        <w:pStyle w:val="Heading1"/>
      </w:pPr>
      <w:r>
        <w:t>Referências de engenharia</w:t>
      </w:r>
    </w:p>
    <w:p>
      <w:pPr>
        <w:pStyle w:val="ListBullet"/>
        <w:spacing w:after="40"/>
      </w:pPr>
      <w:r>
        <w:t>`vectora/CHANGELOG.md` e `docs/content/` — capacidades, guias e contratos publicados.</w:t>
      </w:r>
    </w:p>
    <w:p>
      <w:pPr>
        <w:pStyle w:val="ListBullet"/>
        <w:spacing w:after="40"/>
      </w:pPr>
      <w:r>
        <w:t>`backend/engine/`, `backend/tools/`, `backend/services/`, `backend/storage/` — runtime do agente, tools, lifecycle e persistência.</w:t>
      </w:r>
    </w:p>
    <w:p>
      <w:pPr>
        <w:pStyle w:val="ListBullet"/>
        <w:spacing w:after="40"/>
      </w:pPr>
      <w:r>
        <w:t>`frontend/components/`, `frontend/src/routes/`, `frontend/electron/` — UI, workbenches e integração desktop.</w:t>
      </w:r>
    </w:p>
    <w:p>
      <w:pPr>
        <w:pStyle w:val="ListBullet"/>
        <w:spacing w:after="40"/>
      </w:pPr>
      <w:r>
        <w:t>Issues abertas `#72`, `#79`, `#233`, `#266`, `#271`, `#301`, `#304`, `#309`, `#310`, `#317`, `#318`, `#330`, `#350`, `#351`, `#352`, `#353`, `#354` e `#366`.</w:t>
      </w:r>
    </w:p>
    <w:p>
      <w:pPr>
        <w:pStyle w:val="ListBullet"/>
        <w:spacing w:after="40"/>
      </w:pPr>
      <w:r>
        <w:t>PRs abertas `#329`, `#340`, `#348` e `#355`.</w:t>
      </w:r>
    </w:p>
    <w:p>
      <w:pPr>
        <w:pStyle w:val="ListBullet"/>
        <w:spacing w:after="40"/>
      </w:pPr>
      <w:r>
        <w:t>Documentos de referência sobre AI Coding Harness fornecidos para esta síntese.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Vectora · Arquitetura e recursos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