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190: Current Issues Capstone: Human-Systems Integration in Cyber, Health, and Transport</w:t>
      </w:r>
    </w:p>
    <w:p>
      <w:pPr>
        <w:pStyle w:val="BodyText"/>
      </w:pPr>
      <w:r>
        <w:rPr>
          <w:bCs/>
          <w:b/>
        </w:rPr>
        <w:t xml:space="preserve">Section 83, Spring 2025</w:t>
      </w:r>
    </w:p>
    <w:p>
      <w:pPr>
        <w:pStyle w:val="BodyText"/>
      </w:pPr>
      <w:r>
        <w:t xml:space="preserve">Last updated: January 22, 2025</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11:30am-12:30pm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Online; this is an asynchronous course</w:t>
      </w:r>
    </w:p>
    <w:p>
      <w:pPr>
        <w:pStyle w:val="BodyText"/>
      </w:pPr>
      <w:r>
        <w:t xml:space="preserve">Class Days/Time: Online</w:t>
      </w:r>
    </w:p>
    <w:p>
      <w:pPr>
        <w:pStyle w:val="BodyText"/>
      </w:pPr>
      <w:r>
        <w:t xml:space="preserve">Prerequisite: PSYC 100W</w:t>
      </w:r>
    </w:p>
    <w:p>
      <w:pPr>
        <w:pStyle w:val="BodyText"/>
      </w:pPr>
      <w:r>
        <w:t xml:space="preserve">Co/prerequisite: PSYC 118 or PSYC 120</w:t>
      </w:r>
    </w:p>
    <w:p>
      <w:pPr>
        <w:pStyle w:val="BodyText"/>
      </w:pPr>
      <w:r>
        <w:t xml:space="preserve">This is a no-cost materials course.</w:t>
      </w:r>
    </w:p>
    <w:bookmarkEnd w:id="24"/>
    <w:bookmarkStart w:id="25" w:name="welcome"/>
    <w:p>
      <w:pPr>
        <w:pStyle w:val="Heading1"/>
      </w:pPr>
      <w:r>
        <w:t xml:space="preserve">Welcome!</w:t>
      </w:r>
    </w:p>
    <w:p>
      <w:pPr>
        <w:pStyle w:val="FirstParagraph"/>
      </w:pPr>
      <w:r>
        <w:t xml:space="preserve">My name is Dr.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since 2008 and a professor at SJSU since 2013. I earned my Ph.D. in psychology from the University of Central Florida. I am looking forward to being your instructor as we explore how psychological research can increase the safety and effectiveness of human-machine systems.</w:t>
      </w:r>
    </w:p>
    <w:bookmarkEnd w:id="25"/>
    <w:bookmarkStart w:id="27" w:name="course-description"/>
    <w:p>
      <w:pPr>
        <w:pStyle w:val="Heading1"/>
      </w:pPr>
      <w:r>
        <w:t xml:space="preserve">Course Description</w:t>
      </w:r>
    </w:p>
    <w:p>
      <w:pPr>
        <w:pStyle w:val="FirstParagraph"/>
      </w:pPr>
      <w:r>
        <w:t xml:space="preserve">In this capstone course, we will investigate how psychological research can be applied to large-scale systems of people and technology. We will focus on three important domains, cybersecurity, healthcare, and transportation. We will discover how they are similar and different from an applied research perspective. We will consider how different psychological perspectives inform solutions to societal problems. Through the process, you will practice and develop your skills as a researcher by developing a proposal for a new study. A major part of this course will involve reading, considering, and discussing scientific literature available to us from the King Library.</w:t>
      </w:r>
    </w:p>
    <w:p>
      <w:pPr>
        <w:pStyle w:val="BodyText"/>
      </w:pPr>
      <w:r>
        <w:t xml:space="preserve">The catalog description of this course is an: Integrative survey of current viewpoints and issues in psychology, how they developed and likely future directions of psychology.</w:t>
      </w:r>
    </w:p>
    <w:p>
      <w:pPr>
        <w:pStyle w:val="BodyText"/>
      </w:pPr>
      <w:r>
        <w:t xml:space="preserve">This course builds on themes introduced in PSYC 173 (Human Factors) but does not require it.</w:t>
      </w:r>
    </w:p>
    <w:bookmarkStart w:id="26"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human-systems integration, appropriately use its fundamental terminology, and describe its importance in the effectiveness of cybersecurity, transportation, and healthcare systems</w:t>
      </w:r>
    </w:p>
    <w:p>
      <w:pPr>
        <w:numPr>
          <w:ilvl w:val="0"/>
          <w:numId w:val="1001"/>
        </w:numPr>
      </w:pPr>
      <w:r>
        <w:t xml:space="preserve">CLO2 - Apply research, principles, and methods of human factors to human-machine system design, system evaluation, and training in cybersecurity, transportation, and healthcare systems.</w:t>
      </w:r>
    </w:p>
    <w:p>
      <w:pPr>
        <w:numPr>
          <w:ilvl w:val="0"/>
          <w:numId w:val="1001"/>
        </w:numPr>
      </w:pPr>
      <w:r>
        <w:t xml:space="preserve">CLO3 - Describe how cognitive psychology, perception, industrial/organizational psychology, and the science of learning inform human-systems integration.</w:t>
      </w:r>
    </w:p>
    <w:p>
      <w:pPr>
        <w:numPr>
          <w:ilvl w:val="0"/>
          <w:numId w:val="1001"/>
        </w:numPr>
      </w:pPr>
      <w:r>
        <w:t xml:space="preserve">CLO4 – Develop a novel research study and describe its hypotheses, variables, design, expected results, and research question.</w:t>
      </w:r>
    </w:p>
    <w:p>
      <w:pPr>
        <w:pStyle w:val="FirstParagraph"/>
      </w:pPr>
      <w:r>
        <w:t xml:space="preserve">The learning outcomes will be assessed via written assignments and presentation content.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2"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3" w:name="required-textsreadings"/>
    <w:p>
      <w:pPr>
        <w:pStyle w:val="Heading2"/>
      </w:pPr>
      <w:r>
        <w:t xml:space="preserve">Required Texts/Readings</w:t>
      </w:r>
    </w:p>
    <w:p>
      <w:pPr>
        <w:pStyle w:val="FirstParagraph"/>
      </w:pPr>
      <w:r>
        <w:t xml:space="preserve">There is no textbook required for this course.</w:t>
      </w:r>
    </w:p>
    <w:p>
      <w:pPr>
        <w:pStyle w:val="BodyText"/>
      </w:pPr>
      <w:r>
        <w:t xml:space="preserve">We will learn and practice how to derive meaning from scientific literature. Readings will emphasize primary sources and include supplemental readings. All reading assignments will be provided on Canvas.</w:t>
      </w:r>
    </w:p>
    <w:bookmarkEnd w:id="33"/>
    <w:bookmarkStart w:id="41" w:name="computer"/>
    <w:p>
      <w:pPr>
        <w:pStyle w:val="Heading2"/>
      </w:pPr>
      <w:r>
        <w:t xml:space="preserve">Computer</w:t>
      </w:r>
    </w:p>
    <w:p>
      <w:pPr>
        <w:pStyle w:val="FirstParagraph"/>
      </w:pPr>
      <w:r>
        <w:t xml:space="preserve">A laptop or tablet computer with Internet access will be necessary to participate in class activities, take exams, and for your use outside of class. In lieu of a computer or tablet, a smartphone may be used but is unlikely to provide a good experience. You will need a keyboard and the ability to browse web sites and use spreadsheets, a calculator, a word processor, and a stopwatch.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via</w:t>
      </w:r>
      <w:r>
        <w:t xml:space="preserve"> </w:t>
      </w:r>
      <w:r>
        <w:t xml:space="preserve">Zoom</w:t>
      </w:r>
      <w:r>
        <w:t xml:space="preserve">. A webcam and microphone are recommended but not required. For your security, I recommend that you disable or cover your webcam when not in use.</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4">
        <w:r>
          <w:rPr>
            <w:rStyle w:val="Hyperlink"/>
          </w:rPr>
          <w:t xml:space="preserve">RStudio</w:t>
        </w:r>
      </w:hyperlink>
    </w:p>
    <w:p>
      <w:pPr>
        <w:numPr>
          <w:ilvl w:val="0"/>
          <w:numId w:val="1003"/>
        </w:numPr>
      </w:pPr>
      <w:hyperlink r:id="rId35">
        <w:r>
          <w:rPr>
            <w:rStyle w:val="Hyperlink"/>
          </w:rPr>
          <w:t xml:space="preserve">R</w:t>
        </w:r>
      </w:hyperlink>
    </w:p>
    <w:p>
      <w:pPr>
        <w:numPr>
          <w:ilvl w:val="0"/>
          <w:numId w:val="1003"/>
        </w:numPr>
      </w:pPr>
      <w:hyperlink r:id="rId36">
        <w:r>
          <w:rPr>
            <w:rStyle w:val="Hyperlink"/>
          </w:rPr>
          <w:t xml:space="preserve">SPSS</w:t>
        </w:r>
      </w:hyperlink>
    </w:p>
    <w:p>
      <w:pPr>
        <w:numPr>
          <w:ilvl w:val="0"/>
          <w:numId w:val="1003"/>
        </w:numPr>
      </w:pPr>
      <w:hyperlink r:id="rId37">
        <w:r>
          <w:rPr>
            <w:rStyle w:val="Hyperlink"/>
          </w:rPr>
          <w:t xml:space="preserve">G*Power</w:t>
        </w:r>
      </w:hyperlink>
    </w:p>
    <w:p>
      <w:pPr>
        <w:numPr>
          <w:ilvl w:val="0"/>
          <w:numId w:val="1003"/>
        </w:numPr>
      </w:pPr>
      <w:hyperlink r:id="rId38">
        <w:r>
          <w:rPr>
            <w:rStyle w:val="Hyperlink"/>
          </w:rPr>
          <w:t xml:space="preserve">Adobe Creative Cloud</w:t>
        </w:r>
      </w:hyperlink>
    </w:p>
    <w:p>
      <w:pPr>
        <w:numPr>
          <w:ilvl w:val="0"/>
          <w:numId w:val="1003"/>
        </w:numPr>
      </w:pPr>
      <w:hyperlink r:id="rId39">
        <w:r>
          <w:rPr>
            <w:rStyle w:val="Hyperlink"/>
          </w:rPr>
          <w:t xml:space="preserve">Microsoft Office</w:t>
        </w:r>
      </w:hyperlink>
    </w:p>
    <w:p>
      <w:pPr>
        <w:numPr>
          <w:ilvl w:val="0"/>
          <w:numId w:val="1003"/>
        </w:numPr>
      </w:pPr>
      <w:hyperlink r:id="rId40">
        <w:r>
          <w:rPr>
            <w:rStyle w:val="Hyperlink"/>
          </w:rPr>
          <w:t xml:space="preserve">Google Drive</w:t>
        </w:r>
      </w:hyperlink>
    </w:p>
    <w:bookmarkEnd w:id="41"/>
    <w:bookmarkEnd w:id="42"/>
    <w:bookmarkStart w:id="45" w:name="grading"/>
    <w:p>
      <w:pPr>
        <w:pStyle w:val="Heading1"/>
      </w:pPr>
      <w:r>
        <w:t xml:space="preserve">Grading Policy</w:t>
      </w:r>
    </w:p>
    <w:bookmarkStart w:id="43"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3"/>
    <w:bookmarkStart w:id="44"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4"/>
    <w:bookmarkEnd w:id="45"/>
    <w:bookmarkStart w:id="55" w:name="assignments"/>
    <w:p>
      <w:pPr>
        <w:pStyle w:val="Heading1"/>
      </w:pPr>
      <w:r>
        <w:t xml:space="preserve">Course Requirements and Assignments</w:t>
      </w:r>
    </w:p>
    <w:bookmarkStart w:id="46" w:name="lecture-notes-10-of-grade-100-points"/>
    <w:p>
      <w:pPr>
        <w:pStyle w:val="Heading2"/>
      </w:pPr>
      <w:r>
        <w:t xml:space="preserve">Lecture Notes (10% of grade = 100 points)</w:t>
      </w:r>
    </w:p>
    <w:p>
      <w:pPr>
        <w:pStyle w:val="FirstParagraph"/>
      </w:pPr>
      <w:r>
        <w:t xml:space="preserve">Take your own notes while watching the weekly videos. You may choose the format (typed, handwritten and scanned, etc.) of your notes, and they may be extensive or brief, whatever is most helpful to you. For full credit, submit notes covering every assigned video. Because this is credit for minimal rehearsal of the lecture content, you cannot use AI to summarize videos or slides for you. Eleven notes assignments will be worth 10 points each, and the lowest score will be dropped, for a total of 100 points. The grade may be reduced if the notes do not reflect the content of each lecture videos. Maps to CLO1-4.</w:t>
      </w:r>
    </w:p>
    <w:bookmarkEnd w:id="46"/>
    <w:bookmarkStart w:id="47" w:name="Xdbe9fd2cbc43a9b673c55545753b19e810aea3f"/>
    <w:p>
      <w:pPr>
        <w:pStyle w:val="Heading2"/>
      </w:pPr>
      <w:r>
        <w:t xml:space="preserve">Weekly Reflection Assignments (45% of grade = 451 points)</w:t>
      </w:r>
    </w:p>
    <w:p>
      <w:pPr>
        <w:pStyle w:val="FirstParagraph"/>
      </w:pPr>
      <w:r>
        <w:t xml:space="preserve">A weekly reflection assignment will be available on each week’s topic on Canvas. Eleven reflection assignments will be worth 41 points each, for a total of 451 points. Each assignment will be graded satisfactory/unsatisfactory according to the rubric posted to Canvas. Unsatisfactory assignments will receive feedback and can be resubmitted during the semester without a grade penalty. Maps to CLO1-4.</w:t>
      </w:r>
    </w:p>
    <w:bookmarkEnd w:id="47"/>
    <w:bookmarkStart w:id="48" w:name="Xc30efec965076e6ec04cd61734daa3025e8a4f7"/>
    <w:p>
      <w:pPr>
        <w:pStyle w:val="Heading2"/>
      </w:pPr>
      <w:r>
        <w:t xml:space="preserve">Literature Review Paper and Presentation (20% of grade = 200 points)</w:t>
      </w:r>
    </w:p>
    <w:p>
      <w:pPr>
        <w:pStyle w:val="FirstParagraph"/>
      </w:pPr>
      <w:r>
        <w:t xml:space="preserve">You will prepare a literature review on a human-systems integration research topic. The literature review will be used for your proposal assignment. You will be asked to present your literature review in the form of a presentation and paper. Your literature review will be shared with the class and our guest speakers. You will have the option of early feedback so that you can anticipate your grade. This assignment will be assessed according to the rubric posted to Canvas. Maps to CLO2 and CLO4.</w:t>
      </w:r>
    </w:p>
    <w:bookmarkEnd w:id="48"/>
    <w:bookmarkStart w:id="49" w:name="X9e380a24fafb0a1a570ca6a0d8cd442fdb137a9"/>
    <w:p>
      <w:pPr>
        <w:pStyle w:val="Heading2"/>
      </w:pPr>
      <w:r>
        <w:t xml:space="preserve">Proposal Paper and Presentation (25% of grade = 250 points)</w:t>
      </w:r>
    </w:p>
    <w:p>
      <w:pPr>
        <w:pStyle w:val="FirstParagraph"/>
      </w:pPr>
      <w:r>
        <w:t xml:space="preserve">You will prepare a proposal for a novel human-systems integration study. You will be asked to present your proposal in the form of a presentation and a paper. Your proposal will be shared with the class. Note that, unlike the weekly reflection assignments, this assignment may not be resubmitted. You will have the option of early feedback so that you can anticipate your grade. This assignment will be assessed according to the rubric posted to Canvas. Maps to CLO2 and CLO4.</w:t>
      </w:r>
    </w:p>
    <w:bookmarkEnd w:id="49"/>
    <w:bookmarkStart w:id="50" w:name="description-of-capstone-requirements"/>
    <w:p>
      <w:pPr>
        <w:pStyle w:val="Heading2"/>
      </w:pPr>
      <w:r>
        <w:t xml:space="preserve">Description of Capstone Requirements</w:t>
      </w:r>
    </w:p>
    <w:p>
      <w:pPr>
        <w:pStyle w:val="FirstParagraph"/>
      </w:pPr>
      <w:r>
        <w:t xml:space="preserve">As a capstone course, the following requirements will be met:</w:t>
      </w:r>
    </w:p>
    <w:p>
      <w:pPr>
        <w:numPr>
          <w:ilvl w:val="0"/>
          <w:numId w:val="1004"/>
        </w:numPr>
      </w:pPr>
      <w:r>
        <w:t xml:space="preserve">Demonstrated Learning Requirement: Students will develop a viable, original research study.</w:t>
      </w:r>
    </w:p>
    <w:p>
      <w:pPr>
        <w:numPr>
          <w:ilvl w:val="0"/>
          <w:numId w:val="1004"/>
        </w:numPr>
      </w:pPr>
      <w:r>
        <w:t xml:space="preserve">Competence in oral and written communication: Students will author a proposal describing their study and present their proposal in the form of an oral presentation.</w:t>
      </w:r>
    </w:p>
    <w:p>
      <w:pPr>
        <w:numPr>
          <w:ilvl w:val="0"/>
          <w:numId w:val="1004"/>
        </w:numPr>
      </w:pPr>
      <w:r>
        <w:t xml:space="preserve">Integration of skills across the major: Students will use skills developed throughout their degree to develop an original study. The course will explicitly consider how cognitive psychology, perception, social psychology, industrial/organizational psychology and the science of learning inform human-systems integration research.</w:t>
      </w:r>
    </w:p>
    <w:p>
      <w:pPr>
        <w:numPr>
          <w:ilvl w:val="0"/>
          <w:numId w:val="1004"/>
        </w:numPr>
      </w:pPr>
      <w:r>
        <w:t xml:space="preserve">Library use: All source materials are available in the library. Students will use the library to find additional references.</w:t>
      </w:r>
    </w:p>
    <w:p>
      <w:pPr>
        <w:numPr>
          <w:ilvl w:val="0"/>
          <w:numId w:val="1004"/>
        </w:numPr>
      </w:pPr>
      <w:r>
        <w:t xml:space="preserve">Critical evaluation of literature and research reports will be emphasized in class and small-group discussions.</w:t>
      </w:r>
    </w:p>
    <w:p>
      <w:pPr>
        <w:numPr>
          <w:ilvl w:val="0"/>
          <w:numId w:val="1004"/>
        </w:numPr>
      </w:pPr>
      <w:r>
        <w:t xml:space="preserve">Application of existing literature to human-systems integration is a central skill developed in the course.</w:t>
      </w:r>
    </w:p>
    <w:p>
      <w:pPr>
        <w:numPr>
          <w:ilvl w:val="0"/>
          <w:numId w:val="1004"/>
        </w:numPr>
      </w:pPr>
      <w:r>
        <w:t xml:space="preserve">Deliverables include a paper and presentation incorporating critical evaluation of literature.</w:t>
      </w:r>
    </w:p>
    <w:bookmarkEnd w:id="50"/>
    <w:bookmarkStart w:id="53"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reflection questions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1">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 Exceptions are for exceptional, unforeseen, and unavoidable circumstances.</w:t>
      </w:r>
    </w:p>
    <w:bookmarkStart w:id="52" w:name="Xf312e011775e3b7389c6fc828e6377321f69ce6"/>
    <w:p>
      <w:pPr>
        <w:pStyle w:val="Heading3"/>
      </w:pPr>
      <w:r>
        <w:t xml:space="preserve">No assignment submission after the last day of instruction</w:t>
      </w:r>
    </w:p>
    <w:p>
      <w:pPr>
        <w:pStyle w:val="FirstParagraph"/>
      </w:pPr>
      <w:r>
        <w:t xml:space="preserve">I can only accept assignments (except the final)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bookmarkEnd w:id="52"/>
    <w:bookmarkEnd w:id="53"/>
    <w:bookmarkStart w:id="54"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proposal presentation or paper.</w:t>
      </w:r>
    </w:p>
    <w:bookmarkEnd w:id="54"/>
    <w:bookmarkEnd w:id="55"/>
    <w:bookmarkStart w:id="56" w:name="environment"/>
    <w:p>
      <w:pPr>
        <w:pStyle w:val="Heading1"/>
      </w:pPr>
      <w:r>
        <w:t xml:space="preserve">Classroom Environment</w:t>
      </w:r>
    </w:p>
    <w:p>
      <w:pPr>
        <w:pStyle w:val="FirstParagraph"/>
      </w:pPr>
      <w:r>
        <w:t xml:space="preserve">We agree to:</w:t>
      </w:r>
    </w:p>
    <w:p>
      <w:pPr>
        <w:numPr>
          <w:ilvl w:val="0"/>
          <w:numId w:val="1005"/>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6"/>
        </w:numPr>
      </w:pPr>
      <w:r>
        <w:t xml:space="preserve">Respecting diverse viewpoints while affirming that ableism, classism, racism, sexism, transphobia, heterosexism, and xenophobia will not be acceptable in the physical and digital spaces that make up our course.</w:t>
      </w:r>
    </w:p>
    <w:p>
      <w:pPr>
        <w:numPr>
          <w:ilvl w:val="1"/>
          <w:numId w:val="1006"/>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6"/>
        </w:numPr>
      </w:pPr>
      <w:r>
        <w:t xml:space="preserve">We understand that we have multiple obligations and limited time. Our meetings will start promptly at times convenient for both of us.</w:t>
      </w:r>
    </w:p>
    <w:p>
      <w:pPr>
        <w:numPr>
          <w:ilvl w:val="1"/>
          <w:numId w:val="1006"/>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5"/>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5"/>
        </w:numPr>
      </w:pPr>
      <w:r>
        <w:rPr>
          <w:bCs/>
          <w:b/>
        </w:rPr>
        <w:t xml:space="preserve">Unlimited support</w:t>
      </w:r>
      <w:r>
        <w:t xml:space="preserve"> </w:t>
      </w:r>
      <w:r>
        <w:t xml:space="preserve">related to the class or your professional training and development. This means that there is no limit to the number of questions you may ask, e-mails you may send, and no restriction on the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5"/>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6"/>
    <w:bookmarkStart w:id="60" w:name="policies"/>
    <w:p>
      <w:pPr>
        <w:pStyle w:val="Heading1"/>
      </w:pPr>
      <w:r>
        <w:t xml:space="preserve">University Policies</w:t>
      </w:r>
    </w:p>
    <w:p>
      <w:pPr>
        <w:pStyle w:val="FirstParagraph"/>
      </w:pPr>
      <w:r>
        <w:t xml:space="preserve">Per</w:t>
      </w:r>
      <w:r>
        <w:t xml:space="preserve"> </w:t>
      </w:r>
      <w:hyperlink r:id="rId57">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58">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Start w:id="59" w:name="X19695c036f357c2b7eb46623f0d279ebc4a0732"/>
    <w:p>
      <w:pPr>
        <w:pStyle w:val="Heading2"/>
      </w:pPr>
      <w:r>
        <w:t xml:space="preserve">You need my permission before making any recordings in class</w:t>
      </w:r>
    </w:p>
    <w:p>
      <w:pPr>
        <w:pStyle w:val="FirstParagraph"/>
      </w:pPr>
      <w:r>
        <w:t xml:space="preserve">You must obtain the instructor’s permission to make any audio or video recordings in this class. Unless otherwise specified, course content and materials created by your instructor are copyrighted and cannot be redistributed.</w:t>
      </w:r>
    </w:p>
    <w:bookmarkEnd w:id="59"/>
    <w:bookmarkEnd w:id="60"/>
    <w:bookmarkStart w:id="62" w:name="library-liaison"/>
    <w:p>
      <w:pPr>
        <w:pStyle w:val="Heading1"/>
      </w:pPr>
      <w:r>
        <w:t xml:space="preserve">Library Liaison</w:t>
      </w:r>
    </w:p>
    <w:p>
      <w:pPr>
        <w:pStyle w:val="FirstParagraph"/>
      </w:pPr>
      <w:r>
        <w:t xml:space="preserve">Our library liaison is Christa Bailey. Email:</w:t>
      </w:r>
      <w:r>
        <w:t xml:space="preserve"> </w:t>
      </w:r>
      <w:hyperlink r:id="rId61">
        <w:r>
          <w:rPr>
            <w:rStyle w:val="Hyperlink"/>
          </w:rPr>
          <w:t xml:space="preserve">christa.bailey@sjsu.edu</w:t>
        </w:r>
      </w:hyperlink>
    </w:p>
    <w:bookmarkEnd w:id="62"/>
    <w:bookmarkStart w:id="63" w:name="additional-information"/>
    <w:p>
      <w:pPr>
        <w:pStyle w:val="Heading1"/>
      </w:pPr>
      <w:r>
        <w:t xml:space="preserve">Additional Information</w:t>
      </w:r>
    </w:p>
    <w:p>
      <w:pPr>
        <w:pStyle w:val="FirstParagraph"/>
      </w:pPr>
      <w:r>
        <w:t xml:space="preserve">All assignments in this course should be submitted in APA format. The writing requirement is described above.</w:t>
      </w:r>
    </w:p>
    <w:bookmarkEnd w:id="63"/>
    <w:bookmarkStart w:id="64" w:name="schedule"/>
    <w:p>
      <w:pPr>
        <w:pStyle w:val="Heading1"/>
      </w:pPr>
      <w:r>
        <w:t xml:space="preserve">Course Schedule</w:t>
      </w:r>
    </w:p>
    <w:p>
      <w:pPr>
        <w:pStyle w:val="FirstParagraph"/>
      </w:pPr>
      <w:r>
        <w:t xml:space="preserve">The course schedule is tentative and likely to change; modifications will be posted to this page.</w:t>
      </w:r>
    </w:p>
    <w:tbl>
      <w:tblPr>
        <w:tblStyle w:val="Table"/>
        <w:tblW w:type="pct" w:w="5000"/>
        <w:tblLook w:firstRow="1" w:lastRow="0" w:firstColumn="0" w:lastColumn="0" w:noHBand="0" w:noVBand="0" w:val="0020"/>
        <w:jc w:val="start"/>
        <w:tblLayout w:type="fixed"/>
      </w:tblPr>
      <w:tblGrid>
        <w:gridCol w:w="217"/>
        <w:gridCol w:w="1000"/>
        <w:gridCol w:w="6701"/>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Topics</w:t>
            </w:r>
          </w:p>
        </w:tc>
      </w:tr>
      <w:tr>
        <w:tc>
          <w:tcPr/>
          <w:p>
            <w:pPr>
              <w:pStyle w:val="Compact"/>
              <w:jc w:val="left"/>
            </w:pPr>
            <w:r>
              <w:t xml:space="preserve">1</w:t>
            </w:r>
          </w:p>
        </w:tc>
        <w:tc>
          <w:tcPr/>
          <w:p>
            <w:pPr>
              <w:pStyle w:val="Compact"/>
              <w:jc w:val="left"/>
            </w:pPr>
            <w:r>
              <w:t xml:space="preserve">Thu., Jan. 23</w:t>
            </w:r>
          </w:p>
        </w:tc>
        <w:tc>
          <w:tcPr/>
          <w:p>
            <w:pPr>
              <w:pStyle w:val="Compact"/>
              <w:jc w:val="left"/>
            </w:pPr>
            <w:r>
              <w:t xml:space="preserve">Introduction</w:t>
            </w:r>
          </w:p>
        </w:tc>
      </w:tr>
      <w:tr>
        <w:tc>
          <w:tcPr/>
          <w:p>
            <w:pPr>
              <w:pStyle w:val="Compact"/>
              <w:jc w:val="left"/>
            </w:pPr>
            <w:r>
              <w:t xml:space="preserve">2</w:t>
            </w:r>
          </w:p>
        </w:tc>
        <w:tc>
          <w:tcPr/>
          <w:p>
            <w:pPr>
              <w:pStyle w:val="Compact"/>
              <w:jc w:val="left"/>
            </w:pPr>
            <w:r>
              <w:t xml:space="preserve">Mon., Jan. 27</w:t>
            </w:r>
          </w:p>
        </w:tc>
        <w:tc>
          <w:tcPr/>
          <w:p>
            <w:pPr>
              <w:pStyle w:val="Compact"/>
              <w:jc w:val="left"/>
            </w:pPr>
            <w:r>
              <w:t xml:space="preserve">Applied research methods; Funding opportunities</w:t>
            </w:r>
          </w:p>
        </w:tc>
      </w:tr>
      <w:tr>
        <w:tc>
          <w:tcPr/>
          <w:p>
            <w:pPr>
              <w:pStyle w:val="Compact"/>
              <w:jc w:val="left"/>
            </w:pPr>
            <w:r>
              <w:t xml:space="preserve">3</w:t>
            </w:r>
          </w:p>
        </w:tc>
        <w:tc>
          <w:tcPr/>
          <w:p>
            <w:pPr>
              <w:pStyle w:val="Compact"/>
              <w:jc w:val="left"/>
            </w:pPr>
            <w:r>
              <w:t xml:space="preserve">Mon., Feb. 3</w:t>
            </w:r>
          </w:p>
        </w:tc>
        <w:tc>
          <w:tcPr/>
          <w:p>
            <w:pPr>
              <w:pStyle w:val="Compact"/>
              <w:jc w:val="left"/>
            </w:pPr>
            <w:r>
              <w:t xml:space="preserve">Sociotechnical systems and modeling; Elements of a research proposal</w:t>
            </w:r>
          </w:p>
        </w:tc>
      </w:tr>
      <w:tr>
        <w:tc>
          <w:tcPr/>
          <w:p>
            <w:pPr>
              <w:pStyle w:val="Compact"/>
              <w:jc w:val="left"/>
            </w:pPr>
            <w:r>
              <w:t xml:space="preserve">4</w:t>
            </w:r>
          </w:p>
        </w:tc>
        <w:tc>
          <w:tcPr/>
          <w:p>
            <w:pPr>
              <w:pStyle w:val="Compact"/>
              <w:jc w:val="left"/>
            </w:pPr>
            <w:r>
              <w:t xml:space="preserve">Mon., Feb. 10</w:t>
            </w:r>
          </w:p>
        </w:tc>
        <w:tc>
          <w:tcPr/>
          <w:p>
            <w:pPr>
              <w:pStyle w:val="Compact"/>
              <w:jc w:val="left"/>
            </w:pPr>
            <w:r>
              <w:t xml:space="preserve">Simulation and training; Publication ethics</w:t>
            </w:r>
          </w:p>
        </w:tc>
      </w:tr>
      <w:tr>
        <w:tc>
          <w:tcPr/>
          <w:p>
            <w:pPr>
              <w:pStyle w:val="Compact"/>
              <w:jc w:val="left"/>
            </w:pPr>
            <w:r>
              <w:t xml:space="preserve">5</w:t>
            </w:r>
          </w:p>
        </w:tc>
        <w:tc>
          <w:tcPr/>
          <w:p>
            <w:pPr>
              <w:pStyle w:val="Compact"/>
              <w:jc w:val="left"/>
            </w:pPr>
            <w:r>
              <w:t xml:space="preserve">Mon., Feb. 17</w:t>
            </w:r>
          </w:p>
        </w:tc>
        <w:tc>
          <w:tcPr/>
          <w:p>
            <w:pPr>
              <w:pStyle w:val="Compact"/>
              <w:jc w:val="left"/>
            </w:pPr>
            <w:r>
              <w:t xml:space="preserve">Decision making among cybersecurity professionals; Finding and reading literature</w:t>
            </w:r>
          </w:p>
        </w:tc>
      </w:tr>
      <w:tr>
        <w:tc>
          <w:tcPr/>
          <w:p>
            <w:pPr>
              <w:pStyle w:val="Compact"/>
            </w:pPr>
          </w:p>
        </w:tc>
        <w:tc>
          <w:tcPr/>
          <w:p>
            <w:pPr>
              <w:pStyle w:val="Compact"/>
              <w:jc w:val="left"/>
            </w:pPr>
            <w:r>
              <w:t xml:space="preserve">Tue., Feb. 18</w:t>
            </w:r>
          </w:p>
        </w:tc>
        <w:tc>
          <w:tcPr/>
          <w:p>
            <w:pPr>
              <w:pStyle w:val="Compact"/>
              <w:jc w:val="left"/>
            </w:pPr>
            <w:r>
              <w:rPr>
                <w:bCs/>
                <w:b/>
              </w:rPr>
              <w:t xml:space="preserve">Last day to drop or add</w:t>
            </w:r>
          </w:p>
        </w:tc>
      </w:tr>
      <w:tr>
        <w:tc>
          <w:tcPr/>
          <w:p>
            <w:pPr>
              <w:pStyle w:val="Compact"/>
              <w:jc w:val="left"/>
            </w:pPr>
            <w:r>
              <w:t xml:space="preserve">6</w:t>
            </w:r>
          </w:p>
        </w:tc>
        <w:tc>
          <w:tcPr/>
          <w:p>
            <w:pPr>
              <w:pStyle w:val="Compact"/>
              <w:jc w:val="left"/>
            </w:pPr>
            <w:r>
              <w:t xml:space="preserve">Mon., Feb. 24</w:t>
            </w:r>
          </w:p>
        </w:tc>
        <w:tc>
          <w:tcPr/>
          <w:p>
            <w:pPr>
              <w:pStyle w:val="Compact"/>
              <w:jc w:val="left"/>
            </w:pPr>
            <w:r>
              <w:t xml:space="preserve">Decision making among cybersecurity professionals, continued</w:t>
            </w:r>
          </w:p>
        </w:tc>
      </w:tr>
      <w:tr>
        <w:tc>
          <w:tcPr/>
          <w:p>
            <w:pPr>
              <w:pStyle w:val="Compact"/>
              <w:jc w:val="left"/>
            </w:pPr>
            <w:r>
              <w:t xml:space="preserve">7</w:t>
            </w:r>
          </w:p>
        </w:tc>
        <w:tc>
          <w:tcPr/>
          <w:p>
            <w:pPr>
              <w:pStyle w:val="Compact"/>
              <w:jc w:val="left"/>
            </w:pPr>
            <w:r>
              <w:t xml:space="preserve">Mon., Mar. 3</w:t>
            </w:r>
          </w:p>
        </w:tc>
        <w:tc>
          <w:tcPr/>
          <w:p>
            <w:pPr>
              <w:pStyle w:val="Compact"/>
              <w:jc w:val="left"/>
            </w:pPr>
            <w:r>
              <w:t xml:space="preserve">Medical product design; Citing literature; Patient safety</w:t>
            </w:r>
          </w:p>
        </w:tc>
      </w:tr>
      <w:tr>
        <w:tc>
          <w:tcPr/>
          <w:p>
            <w:pPr>
              <w:pStyle w:val="Compact"/>
              <w:jc w:val="left"/>
            </w:pPr>
            <w:r>
              <w:t xml:space="preserve">8</w:t>
            </w:r>
          </w:p>
        </w:tc>
        <w:tc>
          <w:tcPr/>
          <w:p>
            <w:pPr>
              <w:pStyle w:val="Compact"/>
              <w:jc w:val="left"/>
            </w:pPr>
            <w:r>
              <w:t xml:space="preserve">Mon., Mar. 10</w:t>
            </w:r>
          </w:p>
        </w:tc>
        <w:tc>
          <w:tcPr/>
          <w:p>
            <w:pPr>
              <w:pStyle w:val="Compact"/>
              <w:jc w:val="left"/>
            </w:pPr>
            <w:r>
              <w:t xml:space="preserve">HSI in Medicine: Error, teamwork, and digital health; Summarizing literature and identifying research needs (speaker)</w:t>
            </w:r>
          </w:p>
        </w:tc>
      </w:tr>
      <w:tr>
        <w:tc>
          <w:tcPr/>
          <w:p>
            <w:pPr>
              <w:pStyle w:val="Compact"/>
              <w:jc w:val="left"/>
            </w:pPr>
            <w:r>
              <w:t xml:space="preserve">9</w:t>
            </w:r>
          </w:p>
        </w:tc>
        <w:tc>
          <w:tcPr/>
          <w:p>
            <w:pPr>
              <w:pStyle w:val="Compact"/>
              <w:jc w:val="left"/>
            </w:pPr>
            <w:r>
              <w:t xml:space="preserve">Mon., Mar. 17</w:t>
            </w:r>
          </w:p>
        </w:tc>
        <w:tc>
          <w:tcPr/>
          <w:p>
            <w:pPr>
              <w:pStyle w:val="Compact"/>
              <w:jc w:val="left"/>
            </w:pPr>
            <w:r>
              <w:t xml:space="preserve">Human-automation interaction in transportation</w:t>
            </w:r>
          </w:p>
        </w:tc>
      </w:tr>
      <w:tr>
        <w:tc>
          <w:tcPr/>
          <w:p>
            <w:pPr>
              <w:pStyle w:val="Compact"/>
              <w:jc w:val="left"/>
            </w:pPr>
            <w:r>
              <w:t xml:space="preserve">10</w:t>
            </w:r>
          </w:p>
        </w:tc>
        <w:tc>
          <w:tcPr/>
          <w:p>
            <w:pPr>
              <w:pStyle w:val="Compact"/>
              <w:jc w:val="left"/>
            </w:pPr>
            <w:r>
              <w:t xml:space="preserve">Mon., Mar. 24</w:t>
            </w:r>
          </w:p>
        </w:tc>
        <w:tc>
          <w:tcPr/>
          <w:p>
            <w:pPr>
              <w:pStyle w:val="Compact"/>
              <w:jc w:val="left"/>
            </w:pPr>
            <w:r>
              <w:t xml:space="preserve">Human performance: Workload, motion sickness, fatigue, sustained attention</w:t>
            </w:r>
          </w:p>
        </w:tc>
      </w:tr>
      <w:tr>
        <w:tc>
          <w:tcPr/>
          <w:p>
            <w:pPr>
              <w:pStyle w:val="Compact"/>
              <w:jc w:val="left"/>
            </w:pPr>
            <w:r>
              <w:t xml:space="preserve">11</w:t>
            </w:r>
          </w:p>
        </w:tc>
        <w:tc>
          <w:tcPr/>
          <w:p>
            <w:pPr>
              <w:pStyle w:val="Compact"/>
              <w:jc w:val="left"/>
            </w:pPr>
            <w:r>
              <w:t xml:space="preserve">Mon., Mar. 31</w:t>
            </w:r>
          </w:p>
        </w:tc>
        <w:tc>
          <w:tcPr/>
          <w:p>
            <w:pPr>
              <w:pStyle w:val="Compact"/>
              <w:jc w:val="left"/>
            </w:pPr>
            <w:r>
              <w:rPr>
                <w:bCs/>
                <w:b/>
              </w:rPr>
              <w:t xml:space="preserve">Spring Recess</w:t>
            </w:r>
          </w:p>
        </w:tc>
      </w:tr>
      <w:tr>
        <w:tc>
          <w:tcPr/>
          <w:p>
            <w:pPr>
              <w:pStyle w:val="Compact"/>
              <w:jc w:val="left"/>
            </w:pPr>
            <w:r>
              <w:t xml:space="preserve">12</w:t>
            </w:r>
          </w:p>
        </w:tc>
        <w:tc>
          <w:tcPr/>
          <w:p>
            <w:pPr>
              <w:pStyle w:val="Compact"/>
              <w:jc w:val="left"/>
            </w:pPr>
            <w:r>
              <w:t xml:space="preserve">Mon., Apr. 7</w:t>
            </w:r>
          </w:p>
        </w:tc>
        <w:tc>
          <w:tcPr/>
          <w:p>
            <w:pPr>
              <w:pStyle w:val="Compact"/>
              <w:jc w:val="left"/>
            </w:pPr>
            <w:r>
              <w:t xml:space="preserve">Literature review presentations</w:t>
            </w:r>
          </w:p>
        </w:tc>
      </w:tr>
      <w:tr>
        <w:tc>
          <w:tcPr/>
          <w:p>
            <w:pPr>
              <w:pStyle w:val="Compact"/>
              <w:jc w:val="left"/>
            </w:pPr>
            <w:r>
              <w:t xml:space="preserve">13</w:t>
            </w:r>
          </w:p>
        </w:tc>
        <w:tc>
          <w:tcPr/>
          <w:p>
            <w:pPr>
              <w:pStyle w:val="Compact"/>
              <w:jc w:val="left"/>
            </w:pPr>
            <w:r>
              <w:t xml:space="preserve">Mon., Apr. 14</w:t>
            </w:r>
          </w:p>
        </w:tc>
        <w:tc>
          <w:tcPr/>
          <w:p>
            <w:pPr>
              <w:pStyle w:val="Compact"/>
              <w:jc w:val="left"/>
            </w:pPr>
            <w:r>
              <w:t xml:space="preserve">Airspace coordination; Planning a study</w:t>
            </w:r>
          </w:p>
        </w:tc>
      </w:tr>
      <w:tr>
        <w:tc>
          <w:tcPr/>
          <w:p>
            <w:pPr>
              <w:pStyle w:val="Compact"/>
              <w:jc w:val="left"/>
            </w:pPr>
            <w:r>
              <w:t xml:space="preserve">14</w:t>
            </w:r>
          </w:p>
        </w:tc>
        <w:tc>
          <w:tcPr/>
          <w:p>
            <w:pPr>
              <w:pStyle w:val="Compact"/>
              <w:jc w:val="left"/>
            </w:pPr>
            <w:r>
              <w:t xml:space="preserve">Mon., Apr. 21</w:t>
            </w:r>
          </w:p>
        </w:tc>
        <w:tc>
          <w:tcPr/>
          <w:p>
            <w:pPr>
              <w:pStyle w:val="Compact"/>
              <w:jc w:val="left"/>
            </w:pPr>
            <w:r>
              <w:t xml:space="preserve">Cyberspace as a system: Cyber workforce, threats, automation and orchestration; scientific merit, societal impact, and implications for practice</w:t>
            </w:r>
          </w:p>
        </w:tc>
      </w:tr>
      <w:tr>
        <w:tc>
          <w:tcPr/>
          <w:p>
            <w:pPr>
              <w:pStyle w:val="Compact"/>
              <w:jc w:val="left"/>
            </w:pPr>
            <w:r>
              <w:t xml:space="preserve">15</w:t>
            </w:r>
          </w:p>
        </w:tc>
        <w:tc>
          <w:tcPr/>
          <w:p>
            <w:pPr>
              <w:pStyle w:val="Compact"/>
              <w:jc w:val="left"/>
            </w:pPr>
            <w:r>
              <w:t xml:space="preserve">Mon., Apr. 28</w:t>
            </w:r>
          </w:p>
        </w:tc>
        <w:tc>
          <w:tcPr/>
          <w:p>
            <w:pPr>
              <w:pStyle w:val="Compact"/>
              <w:jc w:val="left"/>
            </w:pPr>
            <w:r>
              <w:t xml:space="preserve">Cybersecurity in daily life: Cyber hygiene, privacy, usability, trust; Assembling your proposal</w:t>
            </w:r>
          </w:p>
        </w:tc>
      </w:tr>
      <w:tr>
        <w:tc>
          <w:tcPr/>
          <w:p>
            <w:pPr>
              <w:pStyle w:val="Compact"/>
              <w:jc w:val="left"/>
            </w:pPr>
            <w:r>
              <w:t xml:space="preserve">16</w:t>
            </w:r>
          </w:p>
        </w:tc>
        <w:tc>
          <w:tcPr/>
          <w:p>
            <w:pPr>
              <w:pStyle w:val="Compact"/>
              <w:jc w:val="left"/>
            </w:pPr>
            <w:r>
              <w:t xml:space="preserve">Mon., May 5</w:t>
            </w:r>
          </w:p>
        </w:tc>
        <w:tc>
          <w:tcPr/>
          <w:p>
            <w:pPr>
              <w:pStyle w:val="Compact"/>
              <w:jc w:val="left"/>
            </w:pPr>
            <w:r>
              <w:t xml:space="preserve">Proposal workshop</w:t>
            </w:r>
          </w:p>
        </w:tc>
      </w:tr>
      <w:tr>
        <w:tc>
          <w:tcPr/>
          <w:p>
            <w:pPr>
              <w:pStyle w:val="Compact"/>
            </w:pPr>
          </w:p>
        </w:tc>
        <w:tc>
          <w:tcPr/>
          <w:p>
            <w:pPr>
              <w:pStyle w:val="Compact"/>
              <w:jc w:val="left"/>
            </w:pPr>
            <w:r>
              <w:t xml:space="preserve">Mon., May 12</w:t>
            </w:r>
          </w:p>
        </w:tc>
        <w:tc>
          <w:tcPr/>
          <w:p>
            <w:pPr>
              <w:pStyle w:val="Compact"/>
              <w:jc w:val="left"/>
            </w:pPr>
            <w:r>
              <w:t xml:space="preserve">Last day of instruction, make-up assignment submission ends 11:59 pm</w:t>
            </w:r>
          </w:p>
        </w:tc>
      </w:tr>
      <w:tr>
        <w:tc>
          <w:tcPr/>
          <w:p>
            <w:pPr>
              <w:pStyle w:val="Compact"/>
              <w:jc w:val="left"/>
            </w:pPr>
            <w:r>
              <w:t xml:space="preserve">Final</w:t>
            </w:r>
          </w:p>
        </w:tc>
        <w:tc>
          <w:tcPr/>
          <w:p>
            <w:pPr>
              <w:pStyle w:val="Compact"/>
              <w:jc w:val="left"/>
            </w:pPr>
            <w:r>
              <w:t xml:space="preserve">Fri., May 16</w:t>
            </w:r>
          </w:p>
        </w:tc>
        <w:tc>
          <w:tcPr/>
          <w:p>
            <w:pPr>
              <w:pStyle w:val="Compact"/>
              <w:jc w:val="left"/>
            </w:pPr>
            <w:r>
              <w:t xml:space="preserve">Proposal presentations due 5:30 pm</w:t>
            </w:r>
          </w:p>
        </w:tc>
      </w:tr>
    </w:tbl>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1"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capsto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58"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57"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1"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capsto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58"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2025-01-22T20:28:02Z</dcterms:created>
  <dcterms:modified xsi:type="dcterms:W3CDTF">2025-01-22T20:28:02Z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current-issues-capstone</vt:lpwstr>
  </property>
  <property fmtid="{D5CDD505-2E9C-101B-9397-08002B2CF9AE}" pid="3" name="output">
    <vt:lpwstr/>
  </property>
</Properties>
</file>