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STAT 095: Elementary Statistics</w:t>
      </w:r>
    </w:p>
    <w:p>
      <w:pPr>
        <w:pStyle w:val="BodyText"/>
      </w:pPr>
      <w:r>
        <w:rPr>
          <w:bCs/>
          <w:b/>
        </w:rPr>
        <w:t xml:space="preserve">Section 2, Summer 2024</w:t>
      </w:r>
    </w:p>
    <w:p>
      <w:pPr>
        <w:pStyle w:val="BodyText"/>
      </w:pPr>
      <w:r>
        <w:t xml:space="preserve">Last updated: May 30,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315</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1:00pm-2:00pm PDT online via</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Math Enrollment Category M-I or M-II, or for Categories III or IV, completion of a GE Area B4 course with a grade of C- or better.</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statistics.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We live in a time of unprecedented access to information. Whether researching the best school, job, or relationship, the Internet has thrown open the doors to vast pools of data. Statistics are objective and systematic methods for describing and interpreting information so that you may make the most informed decisions about life.</w:t>
      </w:r>
    </w:p>
    <w:p>
      <w:pPr>
        <w:pStyle w:val="BodyText"/>
      </w:pPr>
      <w:r>
        <w:t xml:space="preserve">From the catalog: Hypothesis testing and predictive techniques to facilitate decision-making; organization and classification of data, descriptive and inferential statistics, central tendency, variability, probability and sampling distributions, graphic representation, correlation and regression, chi-square, t-tests, and analysis of variance. Computer use in analysis and interpretation. Intended for Psychology majors and minors as well as for programs in Behavioral Science, Child Development, Education, Health Science, Nursing, Nutritional Science, Social Science, and Social Work.</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GE and Course Content Learning Outcomes</w:t>
      </w:r>
    </w:p>
    <w:p>
      <w:pPr>
        <w:pStyle w:val="FirstParagraph"/>
      </w:pPr>
      <w:r>
        <w:t xml:space="preserve">The objective of this course is to provide you with a solid introduction to statistics. Upon successful completion of this course, you will be able to:</w:t>
      </w:r>
    </w:p>
    <w:p>
      <w:pPr>
        <w:numPr>
          <w:ilvl w:val="0"/>
          <w:numId w:val="1001"/>
        </w:numPr>
      </w:pPr>
      <w:r>
        <w:t xml:space="preserve">GELO1 – Use statistical methods to solve quantitative problems, including those presented in verbal form</w:t>
      </w:r>
    </w:p>
    <w:p>
      <w:pPr>
        <w:numPr>
          <w:ilvl w:val="0"/>
          <w:numId w:val="1001"/>
        </w:numPr>
      </w:pPr>
      <w:r>
        <w:t xml:space="preserve">GELO2 – Demonstrate the ability to use mathematics and statistics to solve real-life problems</w:t>
      </w:r>
    </w:p>
    <w:p>
      <w:pPr>
        <w:numPr>
          <w:ilvl w:val="0"/>
          <w:numId w:val="1001"/>
        </w:numPr>
      </w:pPr>
      <w:r>
        <w:t xml:space="preserve">GELO3 – Arrive at conclusions based on numerical and graphical data</w:t>
      </w:r>
    </w:p>
    <w:p>
      <w:pPr>
        <w:pStyle w:val="FirstParagraph"/>
      </w:pPr>
      <w:r>
        <w:t xml:space="preserve">Stat 95 will incorporate issues of diversity in many ways (e.g., in lectures and assignments).The learning outcomes will be assessed via written assignments and exam questions. These assessment items will involve solving verbal and symbolic quantitative problems, including those that involve real-world situations. Students will be required to arrive at conclusions using numerical and graphical data. For example, students may view a scatterplot depicting data for the amount of sleep (X) and visual memory (Y) and determine whether a relationship exists between these variables. If so, they will describe the nature and strength of this relationship (CLO 3). In addition, students will compute appropriate statistical measures that describe the relationship (CLO 1) and then determine the practical implications of the observed relationship (CLO 2, 3).</w:t>
      </w:r>
    </w:p>
    <w:p>
      <w:pPr>
        <w:pStyle w:val="BodyText"/>
      </w:pPr>
      <w:r>
        <w:t xml:space="preserve">Stat 95 requires students to write a minimum of 500 words in a manner appropriate to quantitative analysis. The writing requirement will be met via regular written assignments (described below). Writing will be assessed for grammar, clarity, conciseness, and coherence.</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29"/>
    <w:bookmarkEnd w:id="30"/>
    <w:bookmarkStart w:id="48"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4" w:name="udacity-online-lectures"/>
    <w:p>
      <w:pPr>
        <w:pStyle w:val="Heading2"/>
      </w:pPr>
      <w:r>
        <w:t xml:space="preserve">Udacity: Online Lectures</w:t>
      </w:r>
    </w:p>
    <w:p>
      <w:pPr>
        <w:pStyle w:val="FirstParagraph"/>
      </w:pPr>
      <w:r>
        <w:t xml:space="preserve">Interactive lecture videos are provided through</w:t>
      </w:r>
      <w:r>
        <w:t xml:space="preserve"> </w:t>
      </w:r>
      <w:hyperlink r:id="rId33">
        <w:r>
          <w:rPr>
            <w:rStyle w:val="Hyperlink"/>
          </w:rPr>
          <w:t xml:space="preserve">Udacity</w:t>
        </w:r>
      </w:hyperlink>
      <w:r>
        <w:t xml:space="preserve">. You must sign up with a free Udacity account and enroll in the free course. Double-check that your course is titled</w:t>
      </w:r>
      <w:r>
        <w:t xml:space="preserve"> </w:t>
      </w:r>
      <w:r>
        <w:t xml:space="preserve">“</w:t>
      </w:r>
      <w:r>
        <w:t xml:space="preserve">Statistics.</w:t>
      </w:r>
      <w:r>
        <w:t xml:space="preserve">”</w:t>
      </w:r>
    </w:p>
    <w:bookmarkEnd w:id="34"/>
    <w:bookmarkStart w:id="36" w:name="google-collab-online-activities"/>
    <w:p>
      <w:pPr>
        <w:pStyle w:val="Heading2"/>
      </w:pPr>
      <w:r>
        <w:t xml:space="preserve">Google Collab: Online activities</w:t>
      </w:r>
    </w:p>
    <w:p>
      <w:pPr>
        <w:pStyle w:val="FirstParagraph"/>
      </w:pPr>
      <w:r>
        <w:t xml:space="preserve">Some activities will be provided as</w:t>
      </w:r>
      <w:r>
        <w:t xml:space="preserve"> </w:t>
      </w:r>
      <w:hyperlink r:id="rId35">
        <w:r>
          <w:rPr>
            <w:rStyle w:val="Hyperlink"/>
          </w:rPr>
          <w:t xml:space="preserve">Google Collab notebooks</w:t>
        </w:r>
      </w:hyperlink>
      <w:r>
        <w:t xml:space="preserve">. You will need to be signed into Google using your</w:t>
      </w:r>
      <w:r>
        <w:t xml:space="preserve"> </w:t>
      </w:r>
      <w:r>
        <w:t xml:space="preserve">@sjsu</w:t>
      </w:r>
      <w:r>
        <w:t xml:space="preserve"> </w:t>
      </w:r>
      <w:r>
        <w:t xml:space="preserve">account to access this content.</w:t>
      </w:r>
    </w:p>
    <w:bookmarkEnd w:id="36"/>
    <w:bookmarkStart w:id="38" w:name="spreadsheets"/>
    <w:p>
      <w:pPr>
        <w:pStyle w:val="Heading2"/>
      </w:pPr>
      <w:r>
        <w:t xml:space="preserve">Spreadsheets</w:t>
      </w:r>
    </w:p>
    <w:p>
      <w:pPr>
        <w:pStyle w:val="FirstParagraph"/>
      </w:pPr>
      <w:r>
        <w:t xml:space="preserve">You will need a spreadsheet in order to do calculations for this course. It is recommended that you use</w:t>
      </w:r>
      <w:r>
        <w:t xml:space="preserve"> </w:t>
      </w:r>
      <w:hyperlink r:id="rId37">
        <w:r>
          <w:rPr>
            <w:rStyle w:val="Hyperlink"/>
          </w:rPr>
          <w:t xml:space="preserve">Google Sheets</w:t>
        </w:r>
      </w:hyperlink>
      <w:r>
        <w:t xml:space="preserve"> </w:t>
      </w:r>
      <w:r>
        <w:t xml:space="preserve">through your SJSU Google account. The course will include a spreadsheet tutorial to help you if you are new to spreadsheets.</w:t>
      </w:r>
    </w:p>
    <w:bookmarkEnd w:id="38"/>
    <w:bookmarkStart w:id="39" w:name="no-required-textbook"/>
    <w:p>
      <w:pPr>
        <w:pStyle w:val="Heading2"/>
      </w:pPr>
      <w:r>
        <w:t xml:space="preserve">No required textbook</w:t>
      </w:r>
    </w:p>
    <w:p>
      <w:pPr>
        <w:pStyle w:val="FirstParagraph"/>
      </w:pPr>
      <w:r>
        <w:t xml:space="preserve">There is no required textbook for this course.</w:t>
      </w:r>
    </w:p>
    <w:bookmarkEnd w:id="39"/>
    <w:bookmarkStart w:id="47"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You do</w:t>
      </w:r>
      <w:r>
        <w:t xml:space="preserve"> </w:t>
      </w:r>
      <w:r>
        <w:rPr>
          <w:iCs/>
          <w:i/>
        </w:rPr>
        <w:t xml:space="preserve">not</w:t>
      </w:r>
      <w:r>
        <w:t xml:space="preserve"> </w:t>
      </w:r>
      <w:r>
        <w:t xml:space="preserve">need to purchase licenses for any software for this course.</w:t>
      </w:r>
    </w:p>
    <w:p>
      <w:pPr>
        <w:pStyle w:val="BodyText"/>
      </w:pPr>
      <w:r>
        <w:t xml:space="preserve">Although you will not need them for this course, you should be aware that these software packages are available to you at no cost:</w:t>
      </w:r>
    </w:p>
    <w:p>
      <w:pPr>
        <w:numPr>
          <w:ilvl w:val="0"/>
          <w:numId w:val="1003"/>
        </w:numPr>
      </w:pPr>
      <w:hyperlink r:id="rId40">
        <w:r>
          <w:rPr>
            <w:rStyle w:val="Hyperlink"/>
          </w:rPr>
          <w:t xml:space="preserve">RStudio</w:t>
        </w:r>
      </w:hyperlink>
    </w:p>
    <w:p>
      <w:pPr>
        <w:numPr>
          <w:ilvl w:val="0"/>
          <w:numId w:val="1003"/>
        </w:numPr>
      </w:pPr>
      <w:hyperlink r:id="rId41">
        <w:r>
          <w:rPr>
            <w:rStyle w:val="Hyperlink"/>
          </w:rPr>
          <w:t xml:space="preserve">R</w:t>
        </w:r>
      </w:hyperlink>
    </w:p>
    <w:p>
      <w:pPr>
        <w:numPr>
          <w:ilvl w:val="0"/>
          <w:numId w:val="1003"/>
        </w:numPr>
      </w:pPr>
      <w:hyperlink r:id="rId42">
        <w:r>
          <w:rPr>
            <w:rStyle w:val="Hyperlink"/>
          </w:rPr>
          <w:t xml:space="preserve">SPSS</w:t>
        </w:r>
      </w:hyperlink>
    </w:p>
    <w:p>
      <w:pPr>
        <w:numPr>
          <w:ilvl w:val="0"/>
          <w:numId w:val="1003"/>
        </w:numPr>
      </w:pPr>
      <w:hyperlink r:id="rId43">
        <w:r>
          <w:rPr>
            <w:rStyle w:val="Hyperlink"/>
          </w:rPr>
          <w:t xml:space="preserve">G*Power</w:t>
        </w:r>
      </w:hyperlink>
    </w:p>
    <w:p>
      <w:pPr>
        <w:numPr>
          <w:ilvl w:val="0"/>
          <w:numId w:val="1003"/>
        </w:numPr>
      </w:pPr>
      <w:hyperlink r:id="rId44">
        <w:r>
          <w:rPr>
            <w:rStyle w:val="Hyperlink"/>
          </w:rPr>
          <w:t xml:space="preserve">Adobe Creative Cloud</w:t>
        </w:r>
      </w:hyperlink>
    </w:p>
    <w:p>
      <w:pPr>
        <w:numPr>
          <w:ilvl w:val="0"/>
          <w:numId w:val="1003"/>
        </w:numPr>
      </w:pPr>
      <w:hyperlink r:id="rId45">
        <w:r>
          <w:rPr>
            <w:rStyle w:val="Hyperlink"/>
          </w:rPr>
          <w:t xml:space="preserve">Microsoft Office</w:t>
        </w:r>
      </w:hyperlink>
    </w:p>
    <w:p>
      <w:pPr>
        <w:numPr>
          <w:ilvl w:val="0"/>
          <w:numId w:val="1003"/>
        </w:numPr>
      </w:pPr>
      <w:hyperlink r:id="rId46">
        <w:r>
          <w:rPr>
            <w:rStyle w:val="Hyperlink"/>
          </w:rPr>
          <w:t xml:space="preserve">Google Drive</w:t>
        </w:r>
      </w:hyperlink>
    </w:p>
    <w:bookmarkEnd w:id="47"/>
    <w:bookmarkEnd w:id="48"/>
    <w:bookmarkStart w:id="51" w:name="grading-policy"/>
    <w:p>
      <w:pPr>
        <w:pStyle w:val="Heading1"/>
      </w:pPr>
      <w:r>
        <w:t xml:space="preserve">Grading Policy</w:t>
      </w:r>
    </w:p>
    <w:bookmarkStart w:id="49"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9"/>
    <w:bookmarkStart w:id="50"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50"/>
    <w:bookmarkEnd w:id="51"/>
    <w:bookmarkStart w:id="61" w:name="assignments"/>
    <w:p>
      <w:pPr>
        <w:pStyle w:val="Heading1"/>
      </w:pPr>
      <w:r>
        <w:t xml:space="preserve">Course Requirements and Assignments</w:t>
      </w:r>
    </w:p>
    <w:bookmarkStart w:id="52" w:name="engagement-week-10-of-grade-100-points"/>
    <w:p>
      <w:pPr>
        <w:pStyle w:val="Heading2"/>
      </w:pPr>
      <w:r>
        <w:t xml:space="preserve">Engagement Week (10% of grade = 100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 To earn full credit, do the following:</w:t>
      </w:r>
    </w:p>
    <w:p>
      <w:pPr>
        <w:numPr>
          <w:ilvl w:val="0"/>
          <w:numId w:val="1004"/>
        </w:numPr>
      </w:pPr>
      <w:r>
        <w:t xml:space="preserve">Read all parts of this syllabus</w:t>
      </w:r>
    </w:p>
    <w:p>
      <w:pPr>
        <w:numPr>
          <w:ilvl w:val="0"/>
          <w:numId w:val="1004"/>
        </w:numPr>
      </w:pPr>
      <w:r>
        <w:t xml:space="preserve">Watch the welcome videos</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 Then, continue to the</w:t>
      </w:r>
      <w:r>
        <w:t xml:space="preserve"> </w:t>
      </w:r>
      <w:r>
        <w:t xml:space="preserve">“</w:t>
      </w:r>
      <w:r>
        <w:t xml:space="preserve">Introduction and Engagement Week</w:t>
      </w:r>
      <w:r>
        <w:t xml:space="preserve">”</w:t>
      </w:r>
      <w:r>
        <w:t xml:space="preserve"> </w:t>
      </w:r>
      <w:r>
        <w:t xml:space="preserve">module.</w:t>
      </w:r>
    </w:p>
    <w:p>
      <w:pPr>
        <w:numPr>
          <w:ilvl w:val="0"/>
          <w:numId w:val="1004"/>
        </w:numPr>
      </w:pPr>
      <w:r>
        <w:t xml:space="preserve">Set up your Udacity account and access the</w:t>
      </w:r>
      <w:r>
        <w:t xml:space="preserve"> </w:t>
      </w:r>
      <w:hyperlink r:id="rId33">
        <w:r>
          <w:rPr>
            <w:rStyle w:val="Hyperlink"/>
          </w:rPr>
          <w:t xml:space="preserve">lecture content</w:t>
        </w:r>
      </w:hyperlink>
      <w:r>
        <w:t xml:space="preserve">.</w:t>
      </w:r>
    </w:p>
    <w:p>
      <w:pPr>
        <w:numPr>
          <w:ilvl w:val="0"/>
          <w:numId w:val="1004"/>
        </w:numPr>
      </w:pPr>
      <w:r>
        <w:t xml:space="preserve">Read the important notes on Canvas</w:t>
      </w:r>
    </w:p>
    <w:p>
      <w:pPr>
        <w:numPr>
          <w:ilvl w:val="0"/>
          <w:numId w:val="1004"/>
        </w:numPr>
      </w:pPr>
      <w:r>
        <w:t xml:space="preserve">Submit your personalized schedule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52"/>
    <w:bookmarkStart w:id="53" w:name="Xab5668ac372e0cf7e44ef90248802bb11632131"/>
    <w:p>
      <w:pPr>
        <w:pStyle w:val="Heading2"/>
      </w:pPr>
      <w:r>
        <w:t xml:space="preserve">Udacity Problem Sets (20% of grade = 200 points)</w:t>
      </w:r>
    </w:p>
    <w:p>
      <w:pPr>
        <w:pStyle w:val="FirstParagraph"/>
      </w:pPr>
      <w:r>
        <w:t xml:space="preserve">Five problem set assignments will be assigned 40 points each, for a total of 200 points. Each lesson on Udacity is followed by a problem set. These problem sets are meant to help you self-assess your knowledge of the concepts covered in each lesson (mapping onto learning outcomes 1 through 3). All problem sets are multiple-choice or short answer. The problem set will tell you if your answers are correct. For each assigned problem set, attempt every item at least once. Type out your answers to each item along with any work needed to solve the problem. Mark all items you were able to answer correctly on your first attempt with a [*]. Finally, mark all items for which you could not get a satisfactory answer or are confused about the solution with a [?]. This is graded for completion, (it is okay to make mistakes!) and you must attempt every item without leaving any blank. Substantially incomplete or blatantly effortless work will receive a score of zero. Submitting answers duplicated from others, including having generative AI (e.g., chatbots including ChatGPT) without attempting the problem yourself is academic dishonesty. Maps onto GELOs 1 and 3.</w:t>
      </w:r>
    </w:p>
    <w:p>
      <w:pPr>
        <w:pStyle w:val="BodyText"/>
      </w:pPr>
      <w:r>
        <w:t xml:space="preserve">Udacity has added an automated chatbot to their platform. You may use this tool as an aid, if you wish, but you may not generate the final answer for pasting into your assignment, as this would rob you of the practice this assignment is designed to offer. You should be aware that optional tools on the Udacity site are controlled by Udacity and subject to their privacy policy.</w:t>
      </w:r>
    </w:p>
    <w:bookmarkEnd w:id="53"/>
    <w:bookmarkStart w:id="54" w:name="quizzes-20-of-grade-200-points"/>
    <w:p>
      <w:pPr>
        <w:pStyle w:val="Heading2"/>
      </w:pPr>
      <w:r>
        <w:t xml:space="preserve">Quizzes (20% of grade = 200 points)</w:t>
      </w:r>
    </w:p>
    <w:p>
      <w:pPr>
        <w:pStyle w:val="FirstParagraph"/>
      </w:pPr>
      <w:r>
        <w:t xml:space="preserve">Five quizzes are worth 50 points each, but the lowest one is dropped. This leaves 4 quizzes worth 50 points each, for a total of 200 points. Quizzes are designed to give you quick, low-stakes feedback on your mastery of the prior unit. You may use support materials (your textbook, web sites, and your notes) when you take your quiz, but you must take your quiz alone without the help of any other live individual or automated aid. You may not communicate with anyone or any automation, including generative AI (e.g., chatbots including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w:t>
      </w:r>
    </w:p>
    <w:p>
      <w:pPr>
        <w:pStyle w:val="BodyText"/>
      </w:pPr>
      <w:r>
        <w:t xml:space="preserve">Later concepts in this course build on earlier ones, so while quizzes will focus on the current week’s material, they are cumulative in that items may require knowledge from previous parts of the course. Maps onto GELOs 1-3.</w:t>
      </w:r>
    </w:p>
    <w:bookmarkEnd w:id="54"/>
    <w:bookmarkStart w:id="55" w:name="Xb47de301bd4a97ee6d014e26c72bda634f3380f"/>
    <w:p>
      <w:pPr>
        <w:pStyle w:val="Heading2"/>
      </w:pPr>
      <w:r>
        <w:t xml:space="preserve">Writing Assignments (50% of grade = 500 points)</w:t>
      </w:r>
    </w:p>
    <w:p>
      <w:pPr>
        <w:pStyle w:val="FirstParagraph"/>
      </w:pPr>
      <w:r>
        <w:t xml:space="preserve">Five writing assignments are worth 100 points each, for a total of 500 points. As part of the writing assignments, you will write a response to a prompt about using math and statistics to solve real life problems and arrive at conclusions based on numerical and graphical data (GLEO3). Assignments will be graded for the quality of argument and for grammar and mechanics.</w:t>
      </w:r>
      <w:r>
        <w:t xml:space="preserve"> </w:t>
      </w:r>
      <w:r>
        <w:rPr>
          <w:bCs/>
          <w:b/>
        </w:rPr>
        <w:t xml:space="preserve">All writing must be original and written solely by you</w:t>
      </w:r>
      <w:r>
        <w:t xml:space="preserve">. Do not use a chatbot (e.g., ChatGPT) to write your response for you. Do not copy words or phrases from other sources. If ideas or claims are from other sources, you need to cite them. You may use chatbots to help you interpret or understand, but if you copy any words the chatbot has written, then the result is academic dishonesty. You will write over 500 words across these writing assignments, which will satisfy the writing requirement. Maps onto GELO 2.</w:t>
      </w:r>
    </w:p>
    <w:bookmarkEnd w:id="55"/>
    <w:bookmarkStart w:id="56" w:name="X038aaab64210ec33083f5dce55cc9b73a62c882"/>
    <w:p>
      <w:pPr>
        <w:pStyle w:val="Heading2"/>
      </w:pPr>
      <w:r>
        <w:t xml:space="preserve">GE Post Test Assessment (up to 10 points of extra credit)</w:t>
      </w:r>
    </w:p>
    <w:p>
      <w:pPr>
        <w:pStyle w:val="FirstParagraph"/>
      </w:pPr>
      <w:r>
        <w:t xml:space="preserve">This quiz is given to all students taking Elementary Statistics and is required. You will get one point of extra credit for each correct answer. Complete this quiz on your own without the help of anyone else. Maps onto GELOs 1-3.</w:t>
      </w:r>
    </w:p>
    <w:bookmarkEnd w:id="56"/>
    <w:bookmarkStart w:id="59"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assignments will be accepted for credit as long as they are submitted on Canvas before 4:59pm on the last day of instruction (see the schedule at the end of this syllabus). I strongly encourage you to complete assignments sequentially (that is, complete all of Week 1 material before submitting any Week 2 assignments) and maintain the deadlines specified in your own 30-day plan. While I aim to grade all assignments promptly, grades for assignments submitted after the Canvas due dates may be delayed. Because time in our summer course is very limited, this policy does not allow assignments to be revised and resubmitted; each assignment may only be submitted for grading one time.</w:t>
      </w:r>
    </w:p>
    <w:p>
      <w:pPr>
        <w:pStyle w:val="BodyText"/>
      </w:pPr>
      <w:r>
        <w:t xml:space="preserve">Class activities that are time-sensitive, such as quizzes, cannot be recreated easily and are not accepted late without an approved makeup. If you need a make-up assignment, please complete</w:t>
      </w:r>
      <w:r>
        <w:t xml:space="preserve"> </w:t>
      </w:r>
      <w:hyperlink r:id="rId57">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and reasonably unavoidable circumstances.</w:t>
      </w:r>
    </w:p>
    <w:bookmarkStart w:id="58"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4:59pm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8"/>
    <w:bookmarkEnd w:id="59"/>
    <w:bookmarkStart w:id="60"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quiz.</w:t>
      </w:r>
    </w:p>
    <w:bookmarkEnd w:id="60"/>
    <w:bookmarkEnd w:id="61"/>
    <w:bookmarkStart w:id="62"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 processed through search engines to detect plagiarism.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62"/>
    <w:bookmarkStart w:id="65" w:name="policies"/>
    <w:p>
      <w:pPr>
        <w:pStyle w:val="Heading1"/>
      </w:pPr>
      <w:r>
        <w:t xml:space="preserve">University Policies</w:t>
      </w:r>
    </w:p>
    <w:p>
      <w:pPr>
        <w:pStyle w:val="FirstParagraph"/>
      </w:pPr>
      <w:r>
        <w:t xml:space="preserve">Per</w:t>
      </w:r>
      <w:r>
        <w:t xml:space="preserve"> </w:t>
      </w:r>
      <w:hyperlink r:id="rId63">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4">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5"/>
    <w:bookmarkStart w:id="67" w:name="library-liaison"/>
    <w:p>
      <w:pPr>
        <w:pStyle w:val="Heading1"/>
      </w:pPr>
      <w:r>
        <w:t xml:space="preserve">Library Liaison</w:t>
      </w:r>
    </w:p>
    <w:p>
      <w:pPr>
        <w:pStyle w:val="FirstParagraph"/>
      </w:pPr>
      <w:r>
        <w:t xml:space="preserve">Our library liaison is Christa Bailey. Email:</w:t>
      </w:r>
      <w:r>
        <w:t xml:space="preserve"> </w:t>
      </w:r>
      <w:hyperlink r:id="rId66">
        <w:r>
          <w:rPr>
            <w:rStyle w:val="Hyperlink"/>
          </w:rPr>
          <w:t xml:space="preserve">christa.bailey@sjsu.edu</w:t>
        </w:r>
      </w:hyperlink>
    </w:p>
    <w:bookmarkEnd w:id="67"/>
    <w:bookmarkStart w:id="68"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all assignment due dates</w:t>
      </w:r>
      <w:r>
        <w:t xml:space="preserve">. Each weekly module will include a combination of Udacity problem sets, a quiz, and a writing assignment</w:t>
      </w:r>
    </w:p>
    <w:tbl>
      <w:tblPr>
        <w:tblStyle w:val="Table"/>
        <w:tblW w:type="pct" w:w="5000"/>
        <w:tblLook w:firstRow="1" w:lastRow="0" w:firstColumn="0" w:lastColumn="0" w:noHBand="0" w:noVBand="0" w:val="0020"/>
        <w:jc w:val="start"/>
      </w:tblPr>
      <w:tblGrid>
        <w:gridCol w:w="425"/>
        <w:gridCol w:w="1958"/>
        <w:gridCol w:w="5535"/>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 and Assignments</w:t>
            </w:r>
          </w:p>
        </w:tc>
      </w:tr>
      <w:tr>
        <w:tc>
          <w:tcPr/>
          <w:p>
            <w:pPr>
              <w:pStyle w:val="Compact"/>
              <w:jc w:val="left"/>
            </w:pPr>
            <w:r>
              <w:t xml:space="preserve">1</w:t>
            </w:r>
          </w:p>
        </w:tc>
        <w:tc>
          <w:tcPr/>
          <w:p>
            <w:pPr>
              <w:pStyle w:val="Compact"/>
              <w:jc w:val="left"/>
            </w:pPr>
            <w:r>
              <w:t xml:space="preserve">Mon., June 3</w:t>
            </w:r>
          </w:p>
        </w:tc>
        <w:tc>
          <w:tcPr/>
          <w:p>
            <w:pPr>
              <w:pStyle w:val="Compact"/>
              <w:jc w:val="left"/>
            </w:pPr>
            <w:r>
              <w:t xml:space="preserve">Intro to research and measurement</w:t>
            </w:r>
            <w:r>
              <w:br/>
            </w:r>
            <w:r>
              <w:t xml:space="preserve">Visualizing data</w:t>
            </w:r>
            <w:r>
              <w:br/>
            </w:r>
            <w:r>
              <w:t xml:space="preserve">Central tendency</w:t>
            </w:r>
            <w:r>
              <w:br/>
            </w:r>
            <w:r>
              <w:br/>
            </w:r>
            <w:r>
              <w:t xml:space="preserve">Assignments due Mon., June 10: Engagement week, writing assignment, problem sets, quiz</w:t>
            </w:r>
            <w:r>
              <w:br/>
            </w:r>
            <w:r>
              <w:br/>
            </w:r>
            <w:r>
              <w:t xml:space="preserve">Note: Drop Deadline is June 5</w:t>
            </w:r>
          </w:p>
        </w:tc>
      </w:tr>
      <w:tr>
        <w:tc>
          <w:tcPr/>
          <w:p>
            <w:pPr>
              <w:pStyle w:val="Compact"/>
              <w:jc w:val="left"/>
            </w:pPr>
            <w:r>
              <w:t xml:space="preserve">2</w:t>
            </w:r>
          </w:p>
        </w:tc>
        <w:tc>
          <w:tcPr/>
          <w:p>
            <w:pPr>
              <w:pStyle w:val="Compact"/>
              <w:jc w:val="left"/>
            </w:pPr>
            <w:r>
              <w:t xml:space="preserve">Mon., June 10</w:t>
            </w:r>
          </w:p>
        </w:tc>
        <w:tc>
          <w:tcPr/>
          <w:p>
            <w:pPr>
              <w:pStyle w:val="Compact"/>
              <w:jc w:val="left"/>
            </w:pPr>
            <w:r>
              <w:t xml:space="preserve">Variability Standardizing Normal distributions</w:t>
            </w:r>
            <w:r>
              <w:br/>
            </w:r>
            <w:r>
              <w:br/>
            </w:r>
            <w:r>
              <w:t xml:space="preserve">Assignments due Mon., June 17: Writing assignment, problem sets, quiz</w:t>
            </w:r>
          </w:p>
        </w:tc>
      </w:tr>
      <w:tr>
        <w:tc>
          <w:tcPr/>
          <w:p>
            <w:pPr>
              <w:pStyle w:val="Compact"/>
              <w:jc w:val="left"/>
            </w:pPr>
            <w:r>
              <w:t xml:space="preserve">3</w:t>
            </w:r>
          </w:p>
        </w:tc>
        <w:tc>
          <w:tcPr/>
          <w:p>
            <w:pPr>
              <w:pStyle w:val="Compact"/>
              <w:jc w:val="left"/>
            </w:pPr>
            <w:r>
              <w:t xml:space="preserve">Mon., June 17</w:t>
            </w:r>
          </w:p>
        </w:tc>
        <w:tc>
          <w:tcPr/>
          <w:p>
            <w:pPr>
              <w:pStyle w:val="Compact"/>
              <w:jc w:val="left"/>
            </w:pPr>
            <w:r>
              <w:t xml:space="preserve">Sampling distributions Estimation Hypothesis testing</w:t>
            </w:r>
            <w:r>
              <w:br/>
            </w:r>
            <w:r>
              <w:t xml:space="preserve">Assignments due Mon., June 24: Writing assignment, problem sets, quiz</w:t>
            </w:r>
            <w:r>
              <w:br/>
            </w:r>
          </w:p>
        </w:tc>
      </w:tr>
      <w:tr>
        <w:tc>
          <w:tcPr/>
          <w:p>
            <w:pPr>
              <w:pStyle w:val="Compact"/>
            </w:pPr>
          </w:p>
        </w:tc>
        <w:tc>
          <w:tcPr/>
          <w:p>
            <w:pPr>
              <w:pStyle w:val="Compact"/>
            </w:pPr>
          </w:p>
        </w:tc>
        <w:tc>
          <w:tcPr/>
          <w:p>
            <w:pPr>
              <w:pStyle w:val="Compact"/>
              <w:jc w:val="left"/>
            </w:pPr>
            <w:r>
              <w:t xml:space="preserve">Juneteenth - Campus Closed Wed. June 19</w:t>
            </w:r>
          </w:p>
        </w:tc>
      </w:tr>
      <w:tr>
        <w:tc>
          <w:tcPr/>
          <w:p>
            <w:pPr>
              <w:pStyle w:val="Compact"/>
              <w:jc w:val="left"/>
            </w:pPr>
            <w:r>
              <w:t xml:space="preserve">4</w:t>
            </w:r>
          </w:p>
        </w:tc>
        <w:tc>
          <w:tcPr/>
          <w:p>
            <w:pPr>
              <w:pStyle w:val="Compact"/>
              <w:jc w:val="left"/>
            </w:pPr>
            <w:r>
              <w:t xml:space="preserve">Mon., June 24</w:t>
            </w:r>
          </w:p>
        </w:tc>
        <w:tc>
          <w:tcPr/>
          <w:p>
            <w:pPr>
              <w:pStyle w:val="Compact"/>
              <w:jc w:val="left"/>
            </w:pPr>
            <w:r>
              <w:t xml:space="preserve">T-Tests (two lessons)</w:t>
            </w:r>
            <w:r>
              <w:br/>
            </w:r>
            <w:r>
              <w:br/>
            </w:r>
            <w:r>
              <w:t xml:space="preserve">Assignments due Mon., July 1: Writing assignment, problem sets, quiz</w:t>
            </w:r>
          </w:p>
        </w:tc>
      </w:tr>
      <w:tr>
        <w:tc>
          <w:tcPr/>
          <w:p>
            <w:pPr>
              <w:pStyle w:val="Compact"/>
              <w:jc w:val="left"/>
            </w:pPr>
            <w:r>
              <w:t xml:space="preserve">5</w:t>
            </w:r>
          </w:p>
        </w:tc>
        <w:tc>
          <w:tcPr/>
          <w:p>
            <w:pPr>
              <w:pStyle w:val="Compact"/>
              <w:jc w:val="left"/>
            </w:pPr>
            <w:r>
              <w:t xml:space="preserve">Mon., July 1</w:t>
            </w:r>
          </w:p>
        </w:tc>
        <w:tc>
          <w:tcPr/>
          <w:p>
            <w:pPr>
              <w:pStyle w:val="Compact"/>
              <w:jc w:val="left"/>
            </w:pPr>
            <w:r>
              <w:t xml:space="preserve">One-way ANOVA (two lessons)</w:t>
            </w:r>
            <w:r>
              <w:br/>
            </w:r>
            <w:r>
              <w:t xml:space="preserve">Correlation</w:t>
            </w:r>
            <w:r>
              <w:br/>
            </w:r>
            <w:r>
              <w:br/>
            </w:r>
            <w:r>
              <w:t xml:space="preserve">Assignments due</w:t>
            </w:r>
            <w:r>
              <w:t xml:space="preserve"> </w:t>
            </w:r>
            <w:r>
              <w:rPr>
                <w:bCs/>
                <w:b/>
              </w:rPr>
              <w:t xml:space="preserve">Friday, July 5</w:t>
            </w:r>
            <w:r>
              <w:t xml:space="preserve">: Writing assignment, problem sets, quiz</w:t>
            </w:r>
          </w:p>
        </w:tc>
      </w:tr>
      <w:tr>
        <w:tc>
          <w:tcPr/>
          <w:p>
            <w:pPr>
              <w:pStyle w:val="Compact"/>
            </w:pPr>
          </w:p>
        </w:tc>
        <w:tc>
          <w:tcPr/>
          <w:p>
            <w:pPr>
              <w:pStyle w:val="Compact"/>
            </w:pPr>
          </w:p>
        </w:tc>
        <w:tc>
          <w:tcPr/>
          <w:p>
            <w:pPr>
              <w:pStyle w:val="Compact"/>
              <w:jc w:val="left"/>
            </w:pPr>
            <w:r>
              <w:t xml:space="preserve">Independence Day - Campus Closed Thu. July 4</w:t>
            </w:r>
          </w:p>
        </w:tc>
      </w:tr>
      <w:tr>
        <w:tc>
          <w:tcPr/>
          <w:p>
            <w:pPr>
              <w:pStyle w:val="Compact"/>
            </w:pPr>
          </w:p>
        </w:tc>
        <w:tc>
          <w:tcPr/>
          <w:p>
            <w:pPr>
              <w:pStyle w:val="Compact"/>
              <w:jc w:val="left"/>
            </w:pPr>
            <w:r>
              <w:t xml:space="preserve">Fri., July 5</w:t>
            </w:r>
          </w:p>
        </w:tc>
        <w:tc>
          <w:tcPr/>
          <w:p>
            <w:pPr>
              <w:pStyle w:val="Compact"/>
              <w:jc w:val="left"/>
            </w:pPr>
            <w:r>
              <w:t xml:space="preserve">Last day of instruction, assignment submission ends 4:59 pm</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google.com/spreadsheets/?usp=mkt_sheets" TargetMode="External" /><Relationship Type="http://schemas.openxmlformats.org/officeDocument/2006/relationships/hyperlink" Id="rId63" Target="http://www.sjsu.edu/senate/docs/S16-9.pdf" TargetMode="External" /><Relationship Type="http://schemas.openxmlformats.org/officeDocument/2006/relationships/hyperlink" Id="rId35" Target="https://colab.research.google.com" TargetMode="External" /><Relationship Type="http://schemas.openxmlformats.org/officeDocument/2006/relationships/hyperlink" Id="rId41" Target="https://cran.r-project.org" TargetMode="External" /><Relationship Type="http://schemas.openxmlformats.org/officeDocument/2006/relationships/hyperlink" Id="rId57" Target="https://docs.google.com/forms/d/e/1FAIpQLSepJUy_f3Y2WXoCHIAHd_5hUgq3KBK6nc8mkMCvP6_vfc41Cw/viewform?usp=sf_link" TargetMode="External" /><Relationship Type="http://schemas.openxmlformats.org/officeDocument/2006/relationships/hyperlink" Id="rId46"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elementary-stats-online-summer-syllabus/index.html" TargetMode="External" /><Relationship Type="http://schemas.openxmlformats.org/officeDocument/2006/relationships/hyperlink" Id="rId45" Target="https://www.office.com/getoffice365" TargetMode="External" /><Relationship Type="http://schemas.openxmlformats.org/officeDocument/2006/relationships/hyperlink" Id="rId43" Target="https://www.psychologie.hhu.de/arbeitsgruppen/allgemeine-psychologie-und-arbeitspsychologie/gpower" TargetMode="External" /><Relationship Type="http://schemas.openxmlformats.org/officeDocument/2006/relationships/hyperlink" Id="rId40" Target="https://www.rstudio.com" TargetMode="External" /><Relationship Type="http://schemas.openxmlformats.org/officeDocument/2006/relationships/hyperlink" Id="rId64" Target="https://www.sjsu.edu/curriculum/courses/syllabus-info.php" TargetMode="External" /><Relationship Type="http://schemas.openxmlformats.org/officeDocument/2006/relationships/hyperlink" Id="rId44" Target="https://www.sjsu.edu/ecampus/software-tools/teaching-tools/video-creative/adobe/students.php" TargetMode="External" /><Relationship Type="http://schemas.openxmlformats.org/officeDocument/2006/relationships/hyperlink" Id="rId42" Target="https://www.sjsu.edu/it/services/collaboration/software/instructions.php" TargetMode="External" /><Relationship Type="http://schemas.openxmlformats.org/officeDocument/2006/relationships/hyperlink" Id="rId33" Target="https://www.udacity.com/course/statistics--st095" TargetMode="External" /><Relationship Type="http://schemas.openxmlformats.org/officeDocument/2006/relationships/hyperlink" Id="rId66"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37" Target="http://docs.google.com/spreadsheets/?usp=mkt_sheets" TargetMode="External" /><Relationship Type="http://schemas.openxmlformats.org/officeDocument/2006/relationships/hyperlink" Id="rId63" Target="http://www.sjsu.edu/senate/docs/S16-9.pdf" TargetMode="External" /><Relationship Type="http://schemas.openxmlformats.org/officeDocument/2006/relationships/hyperlink" Id="rId35" Target="https://colab.research.google.com" TargetMode="External" /><Relationship Type="http://schemas.openxmlformats.org/officeDocument/2006/relationships/hyperlink" Id="rId41" Target="https://cran.r-project.org" TargetMode="External" /><Relationship Type="http://schemas.openxmlformats.org/officeDocument/2006/relationships/hyperlink" Id="rId57" Target="https://docs.google.com/forms/d/e/1FAIpQLSepJUy_f3Y2WXoCHIAHd_5hUgq3KBK6nc8mkMCvP6_vfc41Cw/viewform?usp=sf_link" TargetMode="External" /><Relationship Type="http://schemas.openxmlformats.org/officeDocument/2006/relationships/hyperlink" Id="rId46"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elementary-stats-online-summer-syllabus/index.html" TargetMode="External" /><Relationship Type="http://schemas.openxmlformats.org/officeDocument/2006/relationships/hyperlink" Id="rId45" Target="https://www.office.com/getoffice365" TargetMode="External" /><Relationship Type="http://schemas.openxmlformats.org/officeDocument/2006/relationships/hyperlink" Id="rId43" Target="https://www.psychologie.hhu.de/arbeitsgruppen/allgemeine-psychologie-und-arbeitspsychologie/gpower" TargetMode="External" /><Relationship Type="http://schemas.openxmlformats.org/officeDocument/2006/relationships/hyperlink" Id="rId40" Target="https://www.rstudio.com" TargetMode="External" /><Relationship Type="http://schemas.openxmlformats.org/officeDocument/2006/relationships/hyperlink" Id="rId64" Target="https://www.sjsu.edu/curriculum/courses/syllabus-info.php" TargetMode="External" /><Relationship Type="http://schemas.openxmlformats.org/officeDocument/2006/relationships/hyperlink" Id="rId44" Target="https://www.sjsu.edu/ecampus/software-tools/teaching-tools/video-creative/adobe/students.php" TargetMode="External" /><Relationship Type="http://schemas.openxmlformats.org/officeDocument/2006/relationships/hyperlink" Id="rId42" Target="https://www.sjsu.edu/it/services/collaboration/software/instructions.php" TargetMode="External" /><Relationship Type="http://schemas.openxmlformats.org/officeDocument/2006/relationships/hyperlink" Id="rId33" Target="https://www.udacity.com/course/statistics--st095" TargetMode="External" /><Relationship Type="http://schemas.openxmlformats.org/officeDocument/2006/relationships/hyperlink" Id="rId66"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2024-05-30T17:13:22Z</dcterms:created>
  <dcterms:modified xsi:type="dcterms:W3CDTF">2024-05-30T17:13:22Z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