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November 19,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6"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Guest:</w:t>
            </w:r>
            <w:r>
              <w:t xml:space="preserve"> </w:t>
            </w:r>
            <w:hyperlink r:id="rId64">
              <w:r>
                <w:rPr>
                  <w:rStyle w:val="Hyperlink"/>
                </w:rPr>
                <w:t xml:space="preserve">Cassie Hilditch</w:t>
              </w:r>
            </w:hyperlink>
            <w:r>
              <w:t xml:space="preserve">,</w:t>
            </w:r>
            <w:r>
              <w:t xml:space="preserve"> </w:t>
            </w:r>
            <w:r>
              <w:t xml:space="preserve">SJSU Fatigue Countermeasures Laboratory, NASA Ames Research Center</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Sep. 26</w:t>
            </w:r>
          </w:p>
        </w:tc>
        <w:tc>
          <w:tcPr/>
          <w:p>
            <w:pPr>
              <w:pStyle w:val="Compact"/>
              <w:jc w:val="left"/>
            </w:pPr>
            <w:r>
              <w:t xml:space="preserve">Cognitive engineering</w:t>
            </w:r>
          </w:p>
        </w:tc>
        <w:tc>
          <w:tcPr/>
          <w:p>
            <w:pPr>
              <w:pStyle w:val="Compact"/>
            </w:pPr>
          </w:p>
        </w:tc>
        <w:tc>
          <w:tcPr/>
          <w:p>
            <w:pPr>
              <w:pStyle w:val="Compact"/>
              <w:jc w:val="left"/>
            </w:pPr>
            <w:r>
              <w:t xml:space="preserve">Activity 4, cardsort</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6, MAUT</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Activity 7, decision aid</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5">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jc w:val="left"/>
            </w:pPr>
            <w:r>
              <w:t xml:space="preserve">No required class meeting Thurs., work on activity</w:t>
            </w: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jc w:val="left"/>
            </w:pPr>
            <w:r>
              <w:t xml:space="preserve">Guest lecture: Randall Mumaw, NASA Ames</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2024-11-19T19:24:15Z</dcterms:created>
  <dcterms:modified xsi:type="dcterms:W3CDTF">2024-11-19T19:24:15Z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