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Fall 2024</w:t>
      </w:r>
    </w:p>
    <w:p>
      <w:pPr>
        <w:pStyle w:val="BodyText"/>
      </w:pPr>
      <w:r>
        <w:t xml:space="preserve">Last updated: November 05,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DMH 356</w:t>
      </w:r>
    </w:p>
    <w:p>
      <w:pPr>
        <w:pStyle w:val="BodyText"/>
      </w:pPr>
      <w:r>
        <w:t xml:space="preserve">Class Days/Time: Tues. &amp; Thurs., 3:00pm - 4:15pm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0"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APA format is preferred. The writing requirement is described above.</w:t>
      </w:r>
    </w:p>
    <w:bookmarkEnd w:id="63"/>
    <w:bookmarkStart w:id="66"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45"/>
        <w:gridCol w:w="1131"/>
        <w:gridCol w:w="4033"/>
        <w:gridCol w:w="590"/>
        <w:gridCol w:w="1918"/>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Aug. 22</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Aug. 27</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No class meetings</w:t>
            </w:r>
          </w:p>
        </w:tc>
        <w:tc>
          <w:tcPr/>
          <w:p>
            <w:pPr>
              <w:pStyle w:val="Compact"/>
            </w:pPr>
          </w:p>
        </w:tc>
        <w:tc>
          <w:tcPr/>
          <w:p>
            <w:pPr>
              <w:pStyle w:val="Compact"/>
            </w:pP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Guest:</w:t>
            </w:r>
            <w:r>
              <w:t xml:space="preserve"> </w:t>
            </w:r>
            <w:hyperlink r:id="rId64">
              <w:r>
                <w:rPr>
                  <w:rStyle w:val="Hyperlink"/>
                </w:rPr>
                <w:t xml:space="preserve">Cassie Hilditch</w:t>
              </w:r>
            </w:hyperlink>
            <w:r>
              <w:t xml:space="preserve">,</w:t>
            </w:r>
            <w:r>
              <w:t xml:space="preserve"> </w:t>
            </w:r>
            <w:r>
              <w:t xml:space="preserve">SJSU Fatigue Countermeasures Laboratory, NASA Ames Research Center</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jc w:val="left"/>
            </w:pPr>
            <w:r>
              <w:t xml:space="preserve">Thu., Sep. 26</w:t>
            </w:r>
          </w:p>
        </w:tc>
        <w:tc>
          <w:tcPr/>
          <w:p>
            <w:pPr>
              <w:pStyle w:val="Compact"/>
              <w:jc w:val="left"/>
            </w:pPr>
            <w:r>
              <w:t xml:space="preserve">Cognitive engineering</w:t>
            </w:r>
          </w:p>
        </w:tc>
        <w:tc>
          <w:tcPr/>
          <w:p>
            <w:pPr>
              <w:pStyle w:val="Compact"/>
            </w:pPr>
          </w:p>
        </w:tc>
        <w:tc>
          <w:tcPr/>
          <w:p>
            <w:pPr>
              <w:pStyle w:val="Compact"/>
              <w:jc w:val="left"/>
            </w:pPr>
            <w:r>
              <w:t xml:space="preserve">Activity 4, cardsort</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6, MAUT</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Activity 7, decision aid</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Oct. 24</w:t>
            </w:r>
          </w:p>
        </w:tc>
        <w:tc>
          <w:tcPr/>
          <w:p>
            <w:pPr>
              <w:pStyle w:val="Compact"/>
              <w:jc w:val="left"/>
            </w:pPr>
            <w:r>
              <w:t xml:space="preserve">Guest lecture:</w:t>
            </w:r>
            <w:r>
              <w:t xml:space="preserve"> </w:t>
            </w:r>
            <w:hyperlink r:id="rId65">
              <w:r>
                <w:rPr>
                  <w:rStyle w:val="Hyperlink"/>
                </w:rPr>
                <w:t xml:space="preserve">Bei Yang</w:t>
              </w:r>
            </w:hyperlink>
            <w:r>
              <w:t xml:space="preserve">, Meta</w:t>
            </w:r>
          </w:p>
        </w:tc>
        <w:tc>
          <w:tcPr/>
          <w:p>
            <w:pPr>
              <w:pStyle w:val="Compact"/>
            </w:pPr>
          </w:p>
        </w:tc>
        <w:tc>
          <w:tcPr/>
          <w:p>
            <w:pPr>
              <w:pStyle w:val="Compact"/>
              <w:jc w:val="left"/>
            </w:pPr>
            <w:r>
              <w:t xml:space="preserve">Activity 9, presentation</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jc w:val="left"/>
            </w:pPr>
            <w:r>
              <w:t xml:space="preserve">Project milestone 1</w:t>
            </w: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Nov. 14</w:t>
            </w:r>
          </w:p>
        </w:tc>
        <w:tc>
          <w:tcPr/>
          <w:p>
            <w:pPr>
              <w:pStyle w:val="Compact"/>
              <w:jc w:val="left"/>
            </w:pPr>
            <w:r>
              <w:t xml:space="preserve">No required class meeting Thurs., work on activity</w:t>
            </w: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Reflection 12</w:t>
            </w:r>
          </w:p>
        </w:tc>
      </w:tr>
      <w:tr>
        <w:tc>
          <w:tcPr/>
          <w:p>
            <w:pPr>
              <w:pStyle w:val="Compact"/>
            </w:pPr>
          </w:p>
        </w:tc>
        <w:tc>
          <w:tcPr/>
          <w:p>
            <w:pPr>
              <w:pStyle w:val="Compact"/>
              <w:jc w:val="left"/>
            </w:pPr>
            <w:r>
              <w:t xml:space="preserve">Thu., Nov. 21</w:t>
            </w:r>
          </w:p>
        </w:tc>
        <w:tc>
          <w:tcPr/>
          <w:p>
            <w:pPr>
              <w:pStyle w:val="Compact"/>
              <w:jc w:val="left"/>
            </w:pPr>
            <w:r>
              <w:t xml:space="preserve">Guest lecture: Randall Mumaw, NASA Ames</w:t>
            </w: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jc w:val="left"/>
            </w:pPr>
            <w:r>
              <w:t xml:space="preserve">Project milestone 2</w:t>
            </w: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Activity 13, train</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Reflection 13</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Wed., Dec. 11</w:t>
            </w:r>
          </w:p>
        </w:tc>
        <w:tc>
          <w:tcPr/>
          <w:p>
            <w:pPr>
              <w:pStyle w:val="Compact"/>
              <w:jc w:val="left"/>
            </w:pPr>
            <w:r>
              <w:t xml:space="preserve">Project presentations due, 2:45 PM</w:t>
            </w:r>
          </w:p>
        </w:tc>
        <w:tc>
          <w:tcPr/>
          <w:p>
            <w:pPr>
              <w:pStyle w:val="Compact"/>
            </w:pPr>
          </w:p>
        </w:tc>
        <w:tc>
          <w:tcPr/>
          <w:p>
            <w:pPr>
              <w:pStyle w:val="Compact"/>
              <w:jc w:val="left"/>
            </w:pPr>
            <w:r>
              <w:t xml:space="preserve">Final project</w:t>
            </w:r>
          </w:p>
        </w:tc>
      </w:tr>
    </w:tbl>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4"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5"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4"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5"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2024-11-05T21:58:30Z</dcterms:created>
  <dcterms:modified xsi:type="dcterms:W3CDTF">2024-11-05T21:58:30Z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