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drawing>
          <wp:inline xmlns:a="http://schemas.openxmlformats.org/drawingml/2006/main" xmlns:pic="http://schemas.openxmlformats.org/drawingml/2006/picture">
            <wp:extent cx="2057400" cy="2057400"/>
            <wp:docPr id="1" name="Picture 1"/>
            <wp:cNvGraphicFramePr>
              <a:graphicFrameLocks noChangeAspect="1"/>
            </wp:cNvGraphicFramePr>
            <a:graphic>
              <a:graphicData uri="http://schemas.openxmlformats.org/drawingml/2006/picture">
                <pic:pic>
                  <pic:nvPicPr>
                    <pic:cNvPr id="0" name="65014770-DFEB-467E-9D6F-168BE375EA23.jpeg"/>
                    <pic:cNvPicPr/>
                  </pic:nvPicPr>
                  <pic:blipFill>
                    <a:blip r:embed="rId11"/>
                    <a:stretch>
                      <a:fillRect/>
                    </a:stretch>
                  </pic:blipFill>
                  <pic:spPr>
                    <a:xfrm>
                      <a:off x="0" y="0"/>
                      <a:ext cx="2057400" cy="2057400"/>
                    </a:xfrm>
                    <a:prstGeom prst="rect"/>
                  </pic:spPr>
                </pic:pic>
              </a:graphicData>
            </a:graphic>
          </wp:inline>
        </w:drawing>
      </w:r>
    </w:p>
    <w:p>
      <w:pPr>
        <w:spacing w:before="360"/>
        <w:jc w:val="center"/>
      </w:pPr>
      <w:r>
        <w:rPr>
          <w:b/>
          <w:color w:val="07111F"/>
          <w:sz w:val="66"/>
        </w:rPr>
        <w:t>ELVA MARKETS</w:t>
      </w:r>
    </w:p>
    <w:p>
      <w:pPr>
        <w:jc w:val="center"/>
      </w:pPr>
      <w:r>
        <w:rPr>
          <w:b/>
          <w:color w:val="198CFF"/>
          <w:sz w:val="44"/>
        </w:rPr>
        <w:t>MASTER EXECUTION HANDBOOK</w:t>
      </w:r>
    </w:p>
    <w:p>
      <w:pPr>
        <w:jc w:val="center"/>
      </w:pPr>
      <w:r>
        <w:rPr>
          <w:color w:val="5F7083"/>
          <w:sz w:val="26"/>
        </w:rPr>
        <w:t>Locked Product &amp; R&amp;D Baseline — v1.0</w:t>
      </w:r>
    </w:p>
    <w:p>
      <w:pPr>
        <w:spacing w:after="160"/>
        <w:pBdr>
          <w:bottom w:val="single" w:sz="22" w:space="1" w:color="18D7FF"/>
        </w:pBdr>
      </w:pPr>
    </w:p>
    <w:p>
      <w:pPr>
        <w:spacing w:before="120"/>
        <w:jc w:val="center"/>
      </w:pPr>
      <w:r>
        <w:rPr>
          <w:b/>
          <w:color w:val="0B1B2D"/>
          <w:sz w:val="30"/>
        </w:rPr>
        <w:t>Execution Mandate for the ELVA Team</w:t>
      </w:r>
    </w:p>
    <w:p>
      <w:pPr>
        <w:spacing w:before="1440"/>
        <w:jc w:val="center"/>
      </w:pPr>
      <w:r>
        <w:rPr>
          <w:b/>
          <w:color w:val="198CFF"/>
          <w:sz w:val="26"/>
        </w:rPr>
        <w:t>Institutional Trust × Gen-Z Simplicity × AI-Native Interaction</w:t>
      </w:r>
    </w:p>
    <w:p>
      <w:pPr>
        <w:jc w:val="center"/>
      </w:pPr>
      <w:r>
        <w:rPr>
          <w:color w:val="5F7083"/>
          <w:sz w:val="22"/>
        </w:rPr>
        <w:t>Global Markets. On-Chain Capital.</w:t>
      </w:r>
    </w:p>
    <w:p>
      <w:pPr>
        <w:spacing w:before="1800"/>
        <w:jc w:val="center"/>
      </w:pPr>
      <w:r>
        <w:rPr>
          <w:color w:val="5F7083"/>
          <w:sz w:val="18"/>
        </w:rPr>
        <w:t>Internal • Product / Engineering / Design / QA</w:t>
      </w:r>
    </w:p>
    <w:p>
      <w:r>
        <w:br w:type="page"/>
      </w:r>
    </w:p>
    <w:p>
      <w:pPr>
        <w:pStyle w:val="Heading1"/>
        <w:keepNext/>
      </w:pPr>
      <w:r>
        <w:t>Dear Team</w:t>
      </w:r>
    </w:p>
    <w:p>
      <w:pPr>
        <w:pStyle w:val="BodyText"/>
      </w:pPr>
      <w:r>
        <w:rPr>
          <w:i w:val="0"/>
        </w:rPr>
        <w:t>This handbook is the execution source-of-truth for ELVA Markets v1.0. The purpose is to convert the approved founder vision, R&amp;D direction, product architecture, AI boundaries and user experience into a production-grade platform without drifting from the core model.</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6B784"/>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BASELINE</w:t>
            </w:r>
          </w:p>
          <w:p>
            <w:pPr>
              <w:pStyle w:val="BodyText"/>
              <w:spacing w:after="80"/>
            </w:pPr>
            <w:r>
              <w:t>Treat the product direction in this document as the approved baseline. New ideas are welcome, but they do not silently replace the baseline. Any material change must be documented as a Change Request and approved before implementation.</w:t>
            </w:r>
          </w:p>
        </w:tc>
      </w:tr>
    </w:tbl>
    <w:p>
      <w:pPr>
        <w:spacing w:after="20"/>
      </w:pPr>
    </w:p>
    <w:p>
      <w:pPr>
        <w:pStyle w:val="BodyText"/>
      </w:pPr>
      <w:r>
        <w:rPr>
          <w:i w:val="0"/>
        </w:rPr>
        <w:t>The team’s responsibility is not to reinvent ELVA. The responsibility is to execute the approved system faithfully, identify technical problems early, improve implementation quality, and escalate decisions that would alter the product, money flow, risk model, custody model, AI authority or brand direction.</w:t>
      </w:r>
    </w:p>
    <w:p>
      <w:pPr>
        <w:pStyle w:val="Heading2"/>
        <w:keepNext/>
      </w:pPr>
      <w:r>
        <w:t>How to use this handbook</w:t>
      </w:r>
    </w:p>
    <w:p>
      <w:pPr>
        <w:pStyle w:val="BodyText"/>
        <w:spacing w:after="60"/>
        <w:ind w:left="29" w:hanging="29"/>
      </w:pPr>
      <w:r>
        <w:rPr>
          <w:b/>
        </w:rPr>
        <w:t xml:space="preserve">1.   </w:t>
      </w:r>
      <w:r>
        <w:t>Read Sections 1–9 before making architecture or product decisions.</w:t>
      </w:r>
    </w:p>
    <w:p>
      <w:pPr>
        <w:pStyle w:val="BodyText"/>
        <w:spacing w:after="60"/>
        <w:ind w:left="29" w:hanging="29"/>
      </w:pPr>
      <w:r>
        <w:rPr>
          <w:b/>
        </w:rPr>
        <w:t xml:space="preserve">2.   </w:t>
      </w:r>
      <w:r>
        <w:t>Treat the “Non-Negotiable Rules” as hard constraints, not suggestions.</w:t>
      </w:r>
    </w:p>
    <w:p>
      <w:pPr>
        <w:pStyle w:val="BodyText"/>
        <w:spacing w:after="60"/>
        <w:ind w:left="29" w:hanging="29"/>
      </w:pPr>
      <w:r>
        <w:rPr>
          <w:b/>
        </w:rPr>
        <w:t xml:space="preserve">3.   </w:t>
      </w:r>
      <w:r>
        <w:t>Use the execution phases and approval matrix when planning development.</w:t>
      </w:r>
    </w:p>
    <w:p>
      <w:pPr>
        <w:pStyle w:val="BodyText"/>
        <w:spacing w:after="60"/>
        <w:ind w:left="29" w:hanging="29"/>
      </w:pPr>
      <w:r>
        <w:rPr>
          <w:b/>
        </w:rPr>
        <w:t xml:space="preserve">4.   </w:t>
      </w:r>
      <w:r>
        <w:t>Use Claude as an implementation copilot, never as the product owner.</w:t>
      </w:r>
    </w:p>
    <w:p>
      <w:pPr>
        <w:pStyle w:val="BodyText"/>
        <w:spacing w:after="60"/>
        <w:ind w:left="29" w:hanging="29"/>
      </w:pPr>
      <w:r>
        <w:rPr>
          <w:b/>
        </w:rPr>
        <w:t xml:space="preserve">5.   </w:t>
      </w:r>
      <w:r>
        <w:t>Keep decisions in the repository documentation, not only inside AI chats.</w:t>
      </w:r>
    </w:p>
    <w:p>
      <w:pPr>
        <w:pStyle w:val="Heading2"/>
        <w:keepNext/>
      </w:pPr>
      <w:r>
        <w:t>Scope</w:t>
      </w:r>
    </w:p>
    <w:p>
      <w:pPr>
        <w:pStyle w:val="BodyText"/>
      </w:pPr>
      <w:r>
        <w:rPr>
          <w:i w:val="0"/>
        </w:rPr>
        <w:t>This document covers product, business logic, system architecture, UX direction, execution workflow, AI operating boundaries, QA and delivery governance. Regulatory and licensing work is a separate track; however, all engineering should remain compatible with future compliance, auditability and jurisdiction-specific controls.</w:t>
      </w:r>
    </w:p>
    <w:p>
      <w:pPr>
        <w:pStyle w:val="Heading1"/>
        <w:keepNext/>
      </w:pPr>
      <w:r>
        <w:t>Contents</w:t>
      </w:r>
    </w:p>
    <w:tbl>
      <w:tblPr>
        <w:tblW w:type="auto" w:w="0"/>
        <w:jc w:val="center"/>
        <w:tblLayout w:type="fixed"/>
        <w:tblLook w:firstColumn="1" w:firstRow="1" w:lastColumn="0" w:lastRow="0" w:noHBand="0" w:noVBand="1" w:val="04A0"/>
      </w:tblPr>
      <w:tblGrid>
        <w:gridCol w:w="4680"/>
        <w:gridCol w:w="4680"/>
      </w:tblGrid>
      <w:tr>
        <w:trPr>
          <w:cantSplit w:val="true"/>
        </w:trPr>
        <w:tc>
          <w:tcPr>
            <w:tcW w:type="dxa" w:w="4917"/>
            <w:tcBorders>
              <w:top w:val="nil"/>
              <w:left w:val="nil"/>
              <w:bottom w:val="nil"/>
              <w:right w:val="nil"/>
            </w:tcBorders>
          </w:tcPr>
          <w:p>
            <w:pPr>
              <w:spacing w:after="40"/>
            </w:pPr>
            <w:r>
              <w:rPr>
                <w:color w:val="5F7083"/>
                <w:sz w:val="17"/>
              </w:rPr>
              <w:t>1. Executive Mandate</w:t>
            </w:r>
          </w:p>
        </w:tc>
        <w:tc>
          <w:tcPr>
            <w:tcW w:type="dxa" w:w="4917"/>
            <w:tcBorders>
              <w:top w:val="nil"/>
              <w:left w:val="nil"/>
              <w:bottom w:val="nil"/>
              <w:right w:val="nil"/>
            </w:tcBorders>
          </w:tcPr>
          <w:p>
            <w:pPr>
              <w:spacing w:after="40"/>
            </w:pPr>
            <w:r>
              <w:rPr>
                <w:color w:val="5F7083"/>
                <w:sz w:val="17"/>
              </w:rPr>
              <w:t>14. UX, Brand &amp; Gen-Z Design Direction</w:t>
            </w:r>
          </w:p>
        </w:tc>
      </w:tr>
      <w:tr>
        <w:trPr>
          <w:cantSplit w:val="true"/>
        </w:trPr>
        <w:tc>
          <w:tcPr>
            <w:tcW w:type="dxa" w:w="4917"/>
            <w:tcBorders>
              <w:top w:val="nil"/>
              <w:left w:val="nil"/>
              <w:bottom w:val="nil"/>
              <w:right w:val="nil"/>
            </w:tcBorders>
          </w:tcPr>
          <w:p>
            <w:pPr>
              <w:spacing w:after="40"/>
            </w:pPr>
            <w:r>
              <w:rPr>
                <w:color w:val="5F7083"/>
                <w:sz w:val="17"/>
              </w:rPr>
              <w:t>2. What We Are Building</w:t>
            </w:r>
          </w:p>
        </w:tc>
        <w:tc>
          <w:tcPr>
            <w:tcW w:type="dxa" w:w="4917"/>
            <w:tcBorders>
              <w:top w:val="nil"/>
              <w:left w:val="nil"/>
              <w:bottom w:val="nil"/>
              <w:right w:val="nil"/>
            </w:tcBorders>
          </w:tcPr>
          <w:p>
            <w:pPr>
              <w:spacing w:after="40"/>
            </w:pPr>
            <w:r>
              <w:rPr>
                <w:color w:val="5F7083"/>
                <w:sz w:val="17"/>
              </w:rPr>
              <w:t>15. MVP Scope Freeze</w:t>
            </w:r>
          </w:p>
        </w:tc>
      </w:tr>
      <w:tr>
        <w:trPr>
          <w:cantSplit w:val="true"/>
        </w:trPr>
        <w:tc>
          <w:tcPr>
            <w:tcW w:type="dxa" w:w="4917"/>
            <w:tcBorders>
              <w:top w:val="nil"/>
              <w:left w:val="nil"/>
              <w:bottom w:val="nil"/>
              <w:right w:val="nil"/>
            </w:tcBorders>
          </w:tcPr>
          <w:p>
            <w:pPr>
              <w:spacing w:after="40"/>
            </w:pPr>
            <w:r>
              <w:rPr>
                <w:color w:val="5F7083"/>
                <w:sz w:val="17"/>
              </w:rPr>
              <w:t>3. Strategic Product Thesis</w:t>
            </w:r>
          </w:p>
        </w:tc>
        <w:tc>
          <w:tcPr>
            <w:tcW w:type="dxa" w:w="4917"/>
            <w:tcBorders>
              <w:top w:val="nil"/>
              <w:left w:val="nil"/>
              <w:bottom w:val="nil"/>
              <w:right w:val="nil"/>
            </w:tcBorders>
          </w:tcPr>
          <w:p>
            <w:pPr>
              <w:spacing w:after="40"/>
            </w:pPr>
            <w:r>
              <w:rPr>
                <w:color w:val="5F7083"/>
                <w:sz w:val="17"/>
              </w:rPr>
              <w:t>16. Product Roadmap</w:t>
            </w:r>
          </w:p>
        </w:tc>
      </w:tr>
      <w:tr>
        <w:trPr>
          <w:cantSplit w:val="true"/>
        </w:trPr>
        <w:tc>
          <w:tcPr>
            <w:tcW w:type="dxa" w:w="4917"/>
            <w:tcBorders>
              <w:top w:val="nil"/>
              <w:left w:val="nil"/>
              <w:bottom w:val="nil"/>
              <w:right w:val="nil"/>
            </w:tcBorders>
          </w:tcPr>
          <w:p>
            <w:pPr>
              <w:spacing w:after="40"/>
            </w:pPr>
            <w:r>
              <w:rPr>
                <w:color w:val="5F7083"/>
                <w:sz w:val="17"/>
              </w:rPr>
              <w:t>4. Locked System Architecture</w:t>
            </w:r>
          </w:p>
        </w:tc>
        <w:tc>
          <w:tcPr>
            <w:tcW w:type="dxa" w:w="4917"/>
            <w:tcBorders>
              <w:top w:val="nil"/>
              <w:left w:val="nil"/>
              <w:bottom w:val="nil"/>
              <w:right w:val="nil"/>
            </w:tcBorders>
          </w:tcPr>
          <w:p>
            <w:pPr>
              <w:spacing w:after="40"/>
            </w:pPr>
            <w:r>
              <w:rPr>
                <w:color w:val="5F7083"/>
                <w:sz w:val="17"/>
              </w:rPr>
              <w:t>17. Execution Ownership &amp; Approval Matrix</w:t>
            </w:r>
          </w:p>
        </w:tc>
      </w:tr>
      <w:tr>
        <w:trPr>
          <w:cantSplit w:val="true"/>
        </w:trPr>
        <w:tc>
          <w:tcPr>
            <w:tcW w:type="dxa" w:w="4917"/>
            <w:tcBorders>
              <w:top w:val="nil"/>
              <w:left w:val="nil"/>
              <w:bottom w:val="nil"/>
              <w:right w:val="nil"/>
            </w:tcBorders>
          </w:tcPr>
          <w:p>
            <w:pPr>
              <w:spacing w:after="40"/>
            </w:pPr>
            <w:r>
              <w:rPr>
                <w:color w:val="5F7083"/>
                <w:sz w:val="17"/>
              </w:rPr>
              <w:t>5. Capital &amp; Transaction Lifecycle</w:t>
            </w:r>
          </w:p>
        </w:tc>
        <w:tc>
          <w:tcPr>
            <w:tcW w:type="dxa" w:w="4917"/>
            <w:tcBorders>
              <w:top w:val="nil"/>
              <w:left w:val="nil"/>
              <w:bottom w:val="nil"/>
              <w:right w:val="nil"/>
            </w:tcBorders>
          </w:tcPr>
          <w:p>
            <w:pPr>
              <w:spacing w:after="40"/>
            </w:pPr>
            <w:r>
              <w:rPr>
                <w:color w:val="5F7083"/>
                <w:sz w:val="17"/>
              </w:rPr>
              <w:t>18. Claude Operating Model</w:t>
            </w:r>
          </w:p>
        </w:tc>
      </w:tr>
      <w:tr>
        <w:trPr>
          <w:cantSplit w:val="true"/>
        </w:trPr>
        <w:tc>
          <w:tcPr>
            <w:tcW w:type="dxa" w:w="4917"/>
            <w:tcBorders>
              <w:top w:val="nil"/>
              <w:left w:val="nil"/>
              <w:bottom w:val="nil"/>
              <w:right w:val="nil"/>
            </w:tcBorders>
          </w:tcPr>
          <w:p>
            <w:pPr>
              <w:spacing w:after="40"/>
            </w:pPr>
            <w:r>
              <w:rPr>
                <w:color w:val="5F7083"/>
                <w:sz w:val="17"/>
              </w:rPr>
              <w:t>6. Trading Modes</w:t>
            </w:r>
          </w:p>
        </w:tc>
        <w:tc>
          <w:tcPr>
            <w:tcW w:type="dxa" w:w="4917"/>
            <w:tcBorders>
              <w:top w:val="nil"/>
              <w:left w:val="nil"/>
              <w:bottom w:val="nil"/>
              <w:right w:val="nil"/>
            </w:tcBorders>
          </w:tcPr>
          <w:p>
            <w:pPr>
              <w:spacing w:after="40"/>
            </w:pPr>
            <w:r>
              <w:rPr>
                <w:color w:val="5F7083"/>
                <w:sz w:val="17"/>
              </w:rPr>
              <w:t>19. Engineering Workflow &amp; Repository Rules</w:t>
            </w:r>
          </w:p>
        </w:tc>
      </w:tr>
      <w:tr>
        <w:trPr>
          <w:cantSplit w:val="true"/>
        </w:trPr>
        <w:tc>
          <w:tcPr>
            <w:tcW w:type="dxa" w:w="4917"/>
            <w:tcBorders>
              <w:top w:val="nil"/>
              <w:left w:val="nil"/>
              <w:bottom w:val="nil"/>
              <w:right w:val="nil"/>
            </w:tcBorders>
          </w:tcPr>
          <w:p>
            <w:pPr>
              <w:spacing w:after="40"/>
            </w:pPr>
            <w:r>
              <w:rPr>
                <w:color w:val="5F7083"/>
                <w:sz w:val="17"/>
              </w:rPr>
              <w:t>7. ELVA Intelligence</w:t>
            </w:r>
          </w:p>
        </w:tc>
        <w:tc>
          <w:tcPr>
            <w:tcW w:type="dxa" w:w="4917"/>
            <w:tcBorders>
              <w:top w:val="nil"/>
              <w:left w:val="nil"/>
              <w:bottom w:val="nil"/>
              <w:right w:val="nil"/>
            </w:tcBorders>
          </w:tcPr>
          <w:p>
            <w:pPr>
              <w:spacing w:after="40"/>
            </w:pPr>
            <w:r>
              <w:rPr>
                <w:color w:val="5F7083"/>
                <w:sz w:val="17"/>
              </w:rPr>
              <w:t>20. Security &amp; Secret Handling</w:t>
            </w:r>
          </w:p>
        </w:tc>
      </w:tr>
      <w:tr>
        <w:trPr>
          <w:cantSplit w:val="true"/>
        </w:trPr>
        <w:tc>
          <w:tcPr>
            <w:tcW w:type="dxa" w:w="4917"/>
            <w:tcBorders>
              <w:top w:val="nil"/>
              <w:left w:val="nil"/>
              <w:bottom w:val="nil"/>
              <w:right w:val="nil"/>
            </w:tcBorders>
          </w:tcPr>
          <w:p>
            <w:pPr>
              <w:spacing w:after="40"/>
            </w:pPr>
            <w:r>
              <w:rPr>
                <w:color w:val="5F7083"/>
                <w:sz w:val="17"/>
              </w:rPr>
              <w:t>8. Risk, Authority &amp; Permissions</w:t>
            </w:r>
          </w:p>
        </w:tc>
        <w:tc>
          <w:tcPr>
            <w:tcW w:type="dxa" w:w="4917"/>
            <w:tcBorders>
              <w:top w:val="nil"/>
              <w:left w:val="nil"/>
              <w:bottom w:val="nil"/>
              <w:right w:val="nil"/>
            </w:tcBorders>
          </w:tcPr>
          <w:p>
            <w:pPr>
              <w:spacing w:after="40"/>
            </w:pPr>
            <w:r>
              <w:rPr>
                <w:color w:val="5F7083"/>
                <w:sz w:val="17"/>
              </w:rPr>
              <w:t>21. QA, Testing &amp; Release Gates</w:t>
            </w:r>
          </w:p>
        </w:tc>
      </w:tr>
      <w:tr>
        <w:trPr>
          <w:cantSplit w:val="true"/>
        </w:trPr>
        <w:tc>
          <w:tcPr>
            <w:tcW w:type="dxa" w:w="4917"/>
            <w:tcBorders>
              <w:top w:val="nil"/>
              <w:left w:val="nil"/>
              <w:bottom w:val="nil"/>
              <w:right w:val="nil"/>
            </w:tcBorders>
          </w:tcPr>
          <w:p>
            <w:pPr>
              <w:spacing w:after="40"/>
            </w:pPr>
            <w:r>
              <w:rPr>
                <w:color w:val="5F7083"/>
                <w:sz w:val="17"/>
              </w:rPr>
              <w:t>9. Copy Trading</w:t>
            </w:r>
          </w:p>
        </w:tc>
        <w:tc>
          <w:tcPr>
            <w:tcW w:type="dxa" w:w="4917"/>
            <w:tcBorders>
              <w:top w:val="nil"/>
              <w:left w:val="nil"/>
              <w:bottom w:val="nil"/>
              <w:right w:val="nil"/>
            </w:tcBorders>
          </w:tcPr>
          <w:p>
            <w:pPr>
              <w:spacing w:after="40"/>
            </w:pPr>
            <w:r>
              <w:rPr>
                <w:color w:val="5F7083"/>
                <w:sz w:val="17"/>
              </w:rPr>
              <w:t>22. Reporting &amp; Communication</w:t>
            </w:r>
          </w:p>
        </w:tc>
      </w:tr>
      <w:tr>
        <w:trPr>
          <w:cantSplit w:val="true"/>
        </w:trPr>
        <w:tc>
          <w:tcPr>
            <w:tcW w:type="dxa" w:w="4917"/>
            <w:tcBorders>
              <w:top w:val="nil"/>
              <w:left w:val="nil"/>
              <w:bottom w:val="nil"/>
              <w:right w:val="nil"/>
            </w:tcBorders>
          </w:tcPr>
          <w:p>
            <w:pPr>
              <w:spacing w:after="40"/>
            </w:pPr>
            <w:r>
              <w:rPr>
                <w:color w:val="5F7083"/>
                <w:sz w:val="17"/>
              </w:rPr>
              <w:t>10. Bot &amp; Algo Trading</w:t>
            </w:r>
          </w:p>
        </w:tc>
        <w:tc>
          <w:tcPr>
            <w:tcW w:type="dxa" w:w="4917"/>
            <w:tcBorders>
              <w:top w:val="nil"/>
              <w:left w:val="nil"/>
              <w:bottom w:val="nil"/>
              <w:right w:val="nil"/>
            </w:tcBorders>
          </w:tcPr>
          <w:p>
            <w:pPr>
              <w:spacing w:after="40"/>
            </w:pPr>
            <w:r>
              <w:rPr>
                <w:color w:val="5F7083"/>
                <w:sz w:val="17"/>
              </w:rPr>
              <w:t>23. Change Control</w:t>
            </w:r>
          </w:p>
        </w:tc>
      </w:tr>
      <w:tr>
        <w:trPr>
          <w:cantSplit w:val="true"/>
        </w:trPr>
        <w:tc>
          <w:tcPr>
            <w:tcW w:type="dxa" w:w="4917"/>
            <w:tcBorders>
              <w:top w:val="nil"/>
              <w:left w:val="nil"/>
              <w:bottom w:val="nil"/>
              <w:right w:val="nil"/>
            </w:tcBorders>
          </w:tcPr>
          <w:p>
            <w:pPr>
              <w:spacing w:after="40"/>
            </w:pPr>
            <w:r>
              <w:rPr>
                <w:color w:val="5F7083"/>
                <w:sz w:val="17"/>
              </w:rPr>
              <w:t>11. Transparent Capital Layer</w:t>
            </w:r>
          </w:p>
        </w:tc>
        <w:tc>
          <w:tcPr>
            <w:tcW w:type="dxa" w:w="4917"/>
            <w:tcBorders>
              <w:top w:val="nil"/>
              <w:left w:val="nil"/>
              <w:bottom w:val="nil"/>
              <w:right w:val="nil"/>
            </w:tcBorders>
          </w:tcPr>
          <w:p>
            <w:pPr>
              <w:spacing w:after="40"/>
            </w:pPr>
            <w:r>
              <w:rPr>
                <w:color w:val="5F7083"/>
                <w:sz w:val="17"/>
              </w:rPr>
              <w:t>24. First 30-Day Execution Plan</w:t>
            </w:r>
          </w:p>
        </w:tc>
      </w:tr>
      <w:tr>
        <w:trPr>
          <w:cantSplit w:val="true"/>
        </w:trPr>
        <w:tc>
          <w:tcPr>
            <w:tcW w:type="dxa" w:w="4917"/>
            <w:tcBorders>
              <w:top w:val="nil"/>
              <w:left w:val="nil"/>
              <w:bottom w:val="nil"/>
              <w:right w:val="nil"/>
            </w:tcBorders>
          </w:tcPr>
          <w:p>
            <w:pPr>
              <w:spacing w:after="40"/>
            </w:pPr>
            <w:r>
              <w:rPr>
                <w:color w:val="5F7083"/>
                <w:sz w:val="17"/>
              </w:rPr>
              <w:t>12. Liquidity &amp; Execution</w:t>
            </w:r>
          </w:p>
        </w:tc>
        <w:tc>
          <w:tcPr>
            <w:tcW w:type="dxa" w:w="4917"/>
            <w:tcBorders>
              <w:top w:val="nil"/>
              <w:left w:val="nil"/>
              <w:bottom w:val="nil"/>
              <w:right w:val="nil"/>
            </w:tcBorders>
          </w:tcPr>
          <w:p>
            <w:pPr>
              <w:spacing w:after="40"/>
            </w:pPr>
            <w:r>
              <w:rPr>
                <w:color w:val="5F7083"/>
                <w:sz w:val="17"/>
              </w:rPr>
              <w:t>25. Definition of Done</w:t>
            </w:r>
          </w:p>
        </w:tc>
      </w:tr>
      <w:tr>
        <w:trPr>
          <w:cantSplit w:val="true"/>
        </w:trPr>
        <w:tc>
          <w:tcPr>
            <w:tcW w:type="dxa" w:w="4917"/>
            <w:tcBorders>
              <w:top w:val="nil"/>
              <w:left w:val="nil"/>
              <w:bottom w:val="nil"/>
              <w:right w:val="nil"/>
            </w:tcBorders>
          </w:tcPr>
          <w:p>
            <w:pPr>
              <w:spacing w:after="40"/>
            </w:pPr>
            <w:r>
              <w:rPr>
                <w:color w:val="5F7083"/>
                <w:sz w:val="17"/>
              </w:rPr>
              <w:t>13. Ledger, Data &amp; Reconciliation</w:t>
            </w:r>
          </w:p>
        </w:tc>
        <w:tc>
          <w:tcPr>
            <w:tcW w:type="dxa" w:w="4917"/>
            <w:tcBorders>
              <w:top w:val="nil"/>
              <w:left w:val="nil"/>
              <w:bottom w:val="nil"/>
              <w:right w:val="nil"/>
            </w:tcBorders>
          </w:tcPr>
          <w:p>
            <w:pPr>
              <w:spacing w:after="40"/>
            </w:pPr>
            <w:r>
              <w:rPr>
                <w:color w:val="5F7083"/>
                <w:sz w:val="17"/>
              </w:rPr>
              <w:t>26. Golden Rules</w:t>
            </w:r>
          </w:p>
        </w:tc>
      </w:tr>
    </w:tbl>
    <w:p>
      <w:r>
        <w:br w:type="page"/>
      </w:r>
    </w:p>
    <w:p>
      <w:pPr>
        <w:pStyle w:val="Heading1"/>
        <w:keepNext/>
      </w:pPr>
      <w:r>
        <w:t>1. Executive Mandate</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98C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THE MISSION</w:t>
            </w:r>
          </w:p>
          <w:p>
            <w:pPr>
              <w:pStyle w:val="BodyText"/>
              <w:spacing w:after="80"/>
            </w:pPr>
            <w:r>
              <w:t>Build ELVA as a serious multi-asset trading platform and, over time, a broader financial trading infrastructure business — combining professional execution, transparent capital management, AI intelligence, copy trading, bot trading, liquidity technology and on-chain capital movement.</w:t>
            </w:r>
          </w:p>
        </w:tc>
      </w:tr>
    </w:tbl>
    <w:p>
      <w:pPr>
        <w:spacing w:after="20"/>
      </w:pPr>
    </w:p>
    <w:p>
      <w:pPr>
        <w:pStyle w:val="BodyText"/>
      </w:pPr>
      <w:r>
        <w:rPr>
          <w:i w:val="0"/>
        </w:rPr>
        <w:t>ELVA is not being built as “another MT5 broker” and not as a crypto-themed trading website. MT5 is an initial execution surface. The long-term system is broader: ELVA should own the user experience, capital intelligence, broker core, risk controls, data model, automation layer, liquidity intelligence and ultimately its own terminal/API infrastructure.</w:t>
      </w:r>
    </w:p>
    <w:p>
      <w:pPr>
        <w:pStyle w:val="Heading2"/>
        <w:keepNext/>
      </w:pPr>
      <w:r>
        <w:t>Operating principle</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8D7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CORE PRINCIPLE</w:t>
            </w:r>
          </w:p>
          <w:p>
            <w:pPr>
              <w:pStyle w:val="BodyText"/>
              <w:spacing w:after="80"/>
            </w:pPr>
            <w:r>
              <w:t>Funds can move on-chain. Trading executes at market speed. Risk is controlled independently. Final financial ownership and settlement are reconciled through a transparent capital layer.</w:t>
            </w:r>
          </w:p>
        </w:tc>
      </w:tr>
    </w:tbl>
    <w:p>
      <w:pPr>
        <w:spacing w:after="20"/>
      </w:pPr>
    </w:p>
    <w:p>
      <w:pPr>
        <w:pStyle w:val="ListBullet"/>
        <w:spacing w:after="80"/>
      </w:pPr>
      <w:r>
        <w:rPr>
          <w:b/>
        </w:rPr>
        <w:t xml:space="preserve">User agency: </w:t>
      </w:r>
      <w:r>
        <w:t>users decide allocation, permissions and risk boundaries.</w:t>
      </w:r>
    </w:p>
    <w:p>
      <w:pPr>
        <w:pStyle w:val="ListBullet"/>
        <w:spacing w:after="80"/>
      </w:pPr>
      <w:r>
        <w:rPr>
          <w:b/>
        </w:rPr>
        <w:t xml:space="preserve">Professional execution: </w:t>
      </w:r>
      <w:r>
        <w:t>orders and positions execute through appropriate low-latency trading infrastructure.</w:t>
      </w:r>
    </w:p>
    <w:p>
      <w:pPr>
        <w:pStyle w:val="ListBullet"/>
        <w:spacing w:after="80"/>
      </w:pPr>
      <w:r>
        <w:rPr>
          <w:b/>
        </w:rPr>
        <w:t xml:space="preserve">Transparent capital: </w:t>
      </w:r>
      <w:r>
        <w:t>users can see where capital is allocated, reserved, pending or withdrawable.</w:t>
      </w:r>
    </w:p>
    <w:p>
      <w:pPr>
        <w:pStyle w:val="ListBullet"/>
        <w:spacing w:after="80"/>
      </w:pPr>
      <w:r>
        <w:rPr>
          <w:b/>
        </w:rPr>
        <w:t xml:space="preserve">AI with boundaries: </w:t>
      </w:r>
      <w:r>
        <w:t>AI can assist and automate only inside explicit permissions.</w:t>
      </w:r>
    </w:p>
    <w:p>
      <w:pPr>
        <w:pStyle w:val="ListBullet"/>
        <w:spacing w:after="80"/>
      </w:pPr>
      <w:r>
        <w:rPr>
          <w:b/>
        </w:rPr>
        <w:t xml:space="preserve">Infrastructure mindset: </w:t>
      </w:r>
      <w:r>
        <w:t>design the backend to support multiple markets and future B2B services.</w:t>
      </w:r>
    </w:p>
    <w:p>
      <w:pPr>
        <w:pStyle w:val="Heading1"/>
        <w:keepNext/>
      </w:pPr>
      <w:r>
        <w:t>2. What We Are Building</w:t>
      </w:r>
    </w:p>
    <w:p>
      <w:pPr>
        <w:pStyle w:val="BodyText"/>
      </w:pPr>
      <w:r>
        <w:rPr>
          <w:i w:val="0"/>
        </w:rPr>
        <w:t>ELVA Markets is intended to be a multi-asset trading platform where users can fund with supported blockchain assets, allocate capital into professional trading environments, trade global markets, use manual/copy/bot/AI-assisted workflows, and move or settle eligible capital through an on-chain layer.</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Product Area</w:t>
            </w:r>
          </w:p>
        </w:tc>
        <w:tc>
          <w:tcPr>
            <w:tcW w:type="dxa" w:w="4917"/>
            <w:shd w:fill="0B1B2D"/>
            <w:vAlign w:val="center"/>
          </w:tcPr>
          <w:p>
            <w:r>
              <w:rPr>
                <w:b/>
                <w:color w:val="FFFFFF"/>
              </w:rPr>
              <w:t>Approved Direction</w:t>
            </w:r>
          </w:p>
        </w:tc>
      </w:tr>
      <w:tr>
        <w:trPr>
          <w:cantSplit w:val="true"/>
        </w:trPr>
        <w:tc>
          <w:tcPr>
            <w:tcW w:type="dxa" w:w="2880"/>
            <w:vAlign w:val="top"/>
            <w:tcBorders>
              <w:bottom w:val="single" w:sz="4" w:color="D8E4EF"/>
            </w:tcBorders>
          </w:tcPr>
          <w:p>
            <w:r>
              <w:t>Markets</w:t>
            </w:r>
          </w:p>
        </w:tc>
        <w:tc>
          <w:tcPr>
            <w:tcW w:type="dxa" w:w="6768"/>
            <w:vAlign w:val="top"/>
            <w:tcBorders>
              <w:bottom w:val="single" w:sz="4" w:color="D8E4EF"/>
            </w:tcBorders>
          </w:tcPr>
          <w:p>
            <w:r>
              <w:t>Forex, Gold/Metals, Indices, Commodities, Crypto; architecture must remain multi-asset even if launch is Forex-first.</w:t>
            </w:r>
          </w:p>
        </w:tc>
      </w:tr>
      <w:tr>
        <w:trPr>
          <w:cantSplit w:val="true"/>
        </w:trPr>
        <w:tc>
          <w:tcPr>
            <w:tcW w:type="dxa" w:w="2880"/>
            <w:vAlign w:val="top"/>
            <w:tcBorders>
              <w:bottom w:val="single" w:sz="4" w:color="D8E4EF"/>
            </w:tcBorders>
          </w:tcPr>
          <w:p>
            <w:r>
              <w:t>Funding</w:t>
            </w:r>
          </w:p>
        </w:tc>
        <w:tc>
          <w:tcPr>
            <w:tcW w:type="dxa" w:w="6768"/>
            <w:vAlign w:val="top"/>
            <w:tcBorders>
              <w:bottom w:val="single" w:sz="4" w:color="D8E4EF"/>
            </w:tcBorders>
          </w:tcPr>
          <w:p>
            <w:r>
              <w:t>On-chain stablecoin funding initially; broader wallet/network support can expand later.</w:t>
            </w:r>
          </w:p>
        </w:tc>
      </w:tr>
      <w:tr>
        <w:trPr>
          <w:cantSplit w:val="true"/>
        </w:trPr>
        <w:tc>
          <w:tcPr>
            <w:tcW w:type="dxa" w:w="2880"/>
            <w:vAlign w:val="top"/>
            <w:tcBorders>
              <w:bottom w:val="single" w:sz="4" w:color="D8E4EF"/>
            </w:tcBorders>
          </w:tcPr>
          <w:p>
            <w:r>
              <w:t>Execution</w:t>
            </w:r>
          </w:p>
        </w:tc>
        <w:tc>
          <w:tcPr>
            <w:tcW w:type="dxa" w:w="6768"/>
            <w:vAlign w:val="top"/>
            <w:tcBorders>
              <w:bottom w:val="single" w:sz="4" w:color="D8E4EF"/>
            </w:tcBorders>
          </w:tcPr>
          <w:p>
            <w:r>
              <w:t>MT5 at launch; future native ELVA web/mobile terminal and selected integrations.</w:t>
            </w:r>
          </w:p>
        </w:tc>
      </w:tr>
      <w:tr>
        <w:trPr>
          <w:cantSplit w:val="true"/>
        </w:trPr>
        <w:tc>
          <w:tcPr>
            <w:tcW w:type="dxa" w:w="2880"/>
            <w:vAlign w:val="top"/>
            <w:tcBorders>
              <w:bottom w:val="single" w:sz="4" w:color="D8E4EF"/>
            </w:tcBorders>
          </w:tcPr>
          <w:p>
            <w:r>
              <w:t>Trading Modes</w:t>
            </w:r>
          </w:p>
        </w:tc>
        <w:tc>
          <w:tcPr>
            <w:tcW w:type="dxa" w:w="6768"/>
            <w:vAlign w:val="top"/>
            <w:tcBorders>
              <w:bottom w:val="single" w:sz="4" w:color="D8E4EF"/>
            </w:tcBorders>
          </w:tcPr>
          <w:p>
            <w:r>
              <w:t>Manual, Copy, Bot/Algo, AI-assisted.</w:t>
            </w:r>
          </w:p>
        </w:tc>
      </w:tr>
      <w:tr>
        <w:trPr>
          <w:cantSplit w:val="true"/>
        </w:trPr>
        <w:tc>
          <w:tcPr>
            <w:tcW w:type="dxa" w:w="2880"/>
            <w:vAlign w:val="top"/>
            <w:tcBorders>
              <w:bottom w:val="single" w:sz="4" w:color="D8E4EF"/>
            </w:tcBorders>
          </w:tcPr>
          <w:p>
            <w:r>
              <w:t>Capital Intelligence</w:t>
            </w:r>
          </w:p>
        </w:tc>
        <w:tc>
          <w:tcPr>
            <w:tcW w:type="dxa" w:w="6768"/>
            <w:vAlign w:val="top"/>
            <w:tcBorders>
              <w:bottom w:val="single" w:sz="4" w:color="D8E4EF"/>
            </w:tcBorders>
          </w:tcPr>
          <w:p>
            <w:r>
              <w:t>Dedicated allocation views, margin/reserve visibility, settlement status and withdrawable capital.</w:t>
            </w:r>
          </w:p>
        </w:tc>
      </w:tr>
      <w:tr>
        <w:trPr>
          <w:cantSplit w:val="true"/>
        </w:trPr>
        <w:tc>
          <w:tcPr>
            <w:tcW w:type="dxa" w:w="2880"/>
            <w:vAlign w:val="top"/>
            <w:tcBorders>
              <w:bottom w:val="single" w:sz="4" w:color="D8E4EF"/>
            </w:tcBorders>
          </w:tcPr>
          <w:p>
            <w:r>
              <w:t>AI Layer</w:t>
            </w:r>
          </w:p>
        </w:tc>
        <w:tc>
          <w:tcPr>
            <w:tcW w:type="dxa" w:w="6768"/>
            <w:vAlign w:val="top"/>
            <w:tcBorders>
              <w:bottom w:val="single" w:sz="4" w:color="D8E4EF"/>
            </w:tcBorders>
          </w:tcPr>
          <w:p>
            <w:r>
              <w:t>Market analysis, strategy generation, challenge, risk checks, trader/bot analysis, monitoring and review.</w:t>
            </w:r>
          </w:p>
        </w:tc>
      </w:tr>
      <w:tr>
        <w:trPr>
          <w:cantSplit w:val="true"/>
        </w:trPr>
        <w:tc>
          <w:tcPr>
            <w:tcW w:type="dxa" w:w="2880"/>
            <w:vAlign w:val="top"/>
            <w:tcBorders>
              <w:bottom w:val="single" w:sz="4" w:color="D8E4EF"/>
            </w:tcBorders>
          </w:tcPr>
          <w:p>
            <w:r>
              <w:t>Liquidity</w:t>
            </w:r>
          </w:p>
        </w:tc>
        <w:tc>
          <w:tcPr>
            <w:tcW w:type="dxa" w:w="6768"/>
            <w:vAlign w:val="top"/>
            <w:tcBorders>
              <w:bottom w:val="single" w:sz="4" w:color="D8E4EF"/>
            </w:tcBorders>
          </w:tcPr>
          <w:p>
            <w:r>
              <w:t>Multi-LP connectivity, routing, hedging/exposure management; future Liquidity OS.</w:t>
            </w:r>
          </w:p>
        </w:tc>
      </w:tr>
      <w:tr>
        <w:trPr>
          <w:cantSplit w:val="true"/>
        </w:trPr>
        <w:tc>
          <w:tcPr>
            <w:tcW w:type="dxa" w:w="2880"/>
            <w:vAlign w:val="top"/>
            <w:tcBorders>
              <w:bottom w:val="single" w:sz="4" w:color="D8E4EF"/>
            </w:tcBorders>
          </w:tcPr>
          <w:p>
            <w:r>
              <w:t>Future B2B</w:t>
            </w:r>
          </w:p>
        </w:tc>
        <w:tc>
          <w:tcPr>
            <w:tcW w:type="dxa" w:w="6768"/>
            <w:vAlign w:val="top"/>
            <w:tcBorders>
              <w:bottom w:val="single" w:sz="4" w:color="D8E4EF"/>
            </w:tcBorders>
          </w:tcPr>
          <w:p>
            <w:r>
              <w:t>Brokerage APIs, white-label modules, on-chain funding/settlement infrastructure.</w:t>
            </w:r>
          </w:p>
        </w:tc>
      </w:tr>
    </w:tbl>
    <w:p/>
    <w:p>
      <w:pPr>
        <w:pStyle w:val="Heading2"/>
        <w:keepNext/>
      </w:pPr>
      <w:r>
        <w:t>Corporate positioning</w:t>
      </w:r>
    </w:p>
    <w:p>
      <w:pPr>
        <w:pStyle w:val="BodyText"/>
      </w:pPr>
      <w:r>
        <w:rPr>
          <w:i w:val="0"/>
        </w:rPr>
        <w:t>ELVA should present as an independent institutional finance brand. Where appropriate, the corporate relationship may be stated as “Part of the NodalWaves Group” in About/Footer-level communication rather than dominating the trading hero experience. Brand naming or group positioning must not be changed without approval.</w:t>
      </w:r>
    </w:p>
    <w:p>
      <w:pPr>
        <w:pStyle w:val="Heading1"/>
        <w:keepNext/>
      </w:pPr>
      <w:r>
        <w:t>3. Strategic Product Thesis</w:t>
      </w:r>
    </w:p>
    <w:p>
      <w:pPr>
        <w:pStyle w:val="BodyText"/>
      </w:pPr>
      <w:r>
        <w:rPr>
          <w:i w:val="0"/>
        </w:rPr>
        <w:t>ELVA combines capabilities that exist separately across the market into one coherent operating model. The differentiation is the exact system bundle and user experience — not a claim that each component is individually unprecedented.</w:t>
      </w:r>
    </w:p>
    <w:p>
      <w:pPr>
        <w:pStyle w:val="ListBullet"/>
        <w:spacing w:after="80"/>
      </w:pPr>
      <w:r>
        <w:rPr>
          <w:b/>
        </w:rPr>
        <w:t xml:space="preserve">Professional market access: </w:t>
      </w:r>
      <w:r>
        <w:t>global multi-asset trading through established execution infrastructure.</w:t>
      </w:r>
    </w:p>
    <w:p>
      <w:pPr>
        <w:pStyle w:val="ListBullet"/>
        <w:spacing w:after="80"/>
      </w:pPr>
      <w:r>
        <w:rPr>
          <w:b/>
        </w:rPr>
        <w:t xml:space="preserve">On-chain capital movement: </w:t>
      </w:r>
      <w:r>
        <w:t>supported deposits, withdrawals, treasury movements and eligible settlement can be blockchain-based.</w:t>
      </w:r>
    </w:p>
    <w:p>
      <w:pPr>
        <w:pStyle w:val="ListBullet"/>
        <w:spacing w:after="80"/>
      </w:pPr>
      <w:r>
        <w:rPr>
          <w:b/>
        </w:rPr>
        <w:t xml:space="preserve">Controlled Capital Account: </w:t>
      </w:r>
      <w:r>
        <w:t>users deliberately assign only the capital they want to expose to a trading mode.</w:t>
      </w:r>
    </w:p>
    <w:p>
      <w:pPr>
        <w:pStyle w:val="ListBullet"/>
        <w:spacing w:after="80"/>
      </w:pPr>
      <w:r>
        <w:rPr>
          <w:b/>
        </w:rPr>
        <w:t xml:space="preserve">Explainable AI: </w:t>
      </w:r>
      <w:r>
        <w:t>AI should explain setup logic, counter-case, invalidation and what changed.</w:t>
      </w:r>
    </w:p>
    <w:p>
      <w:pPr>
        <w:pStyle w:val="ListBullet"/>
        <w:spacing w:after="80"/>
      </w:pPr>
      <w:r>
        <w:rPr>
          <w:b/>
        </w:rPr>
        <w:t xml:space="preserve">Deterministic risk: </w:t>
      </w:r>
      <w:r>
        <w:t>risk rules are enforced outside the language model.</w:t>
      </w:r>
    </w:p>
    <w:p>
      <w:pPr>
        <w:pStyle w:val="ListBullet"/>
        <w:spacing w:after="80"/>
      </w:pPr>
      <w:r>
        <w:rPr>
          <w:b/>
        </w:rPr>
        <w:t xml:space="preserve">Copy + Bot intelligence: </w:t>
      </w:r>
      <w:r>
        <w:t>AI analyzes strategy providers and bots instead of treating them as opaque products.</w:t>
      </w:r>
    </w:p>
    <w:p>
      <w:pPr>
        <w:pStyle w:val="ListBullet"/>
        <w:spacing w:after="80"/>
      </w:pPr>
      <w:r>
        <w:rPr>
          <w:b/>
        </w:rPr>
        <w:t xml:space="preserve">Future infrastructure value: </w:t>
      </w:r>
      <w:r>
        <w:t>Liquidity OS, institutional API and brokerage-as-a-service can become major long-term assets.</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D7A53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POSITIONING DISCIPLINE</w:t>
            </w:r>
          </w:p>
          <w:p>
            <w:pPr>
              <w:pStyle w:val="BodyText"/>
              <w:spacing w:after="80"/>
            </w:pPr>
            <w:r>
              <w:t>Do not market ELVA as “fully on-chain trading” when execution is off-chain. Do not market AI as a profit engine. Do not overstate uniqueness. Explain the architecture precisely.</w:t>
            </w:r>
          </w:p>
        </w:tc>
      </w:tr>
    </w:tbl>
    <w:p>
      <w:pPr>
        <w:spacing w:after="20"/>
      </w:pPr>
    </w:p>
    <w:p>
      <w:pPr>
        <w:pStyle w:val="Heading1"/>
        <w:keepNext/>
      </w:pPr>
      <w:r>
        <w:t>4. Locked System Architecture</w:t>
      </w:r>
    </w:p>
    <w:p>
      <w:pPr>
        <w:pStyle w:val="BodyText"/>
      </w:pPr>
      <w:r>
        <w:rPr>
          <w:i w:val="0"/>
        </w:rPr>
        <w:t>The platform should be designed as layered infrastructure. Each layer has a clear responsibility and must remain separable.</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Layer</w:t>
            </w:r>
          </w:p>
        </w:tc>
        <w:tc>
          <w:tcPr>
            <w:tcW w:type="dxa" w:w="4917"/>
            <w:shd w:fill="0B1B2D"/>
            <w:vAlign w:val="center"/>
          </w:tcPr>
          <w:p>
            <w:r>
              <w:rPr>
                <w:b/>
                <w:color w:val="FFFFFF"/>
              </w:rPr>
              <w:t>Responsibility</w:t>
            </w:r>
          </w:p>
        </w:tc>
      </w:tr>
      <w:tr>
        <w:trPr>
          <w:cantSplit w:val="true"/>
        </w:trPr>
        <w:tc>
          <w:tcPr>
            <w:tcW w:type="dxa" w:w="2880"/>
            <w:vAlign w:val="top"/>
            <w:tcBorders>
              <w:bottom w:val="single" w:sz="4" w:color="D8E4EF"/>
            </w:tcBorders>
          </w:tcPr>
          <w:p>
            <w:r>
              <w:t>Layer 1 — Capital</w:t>
            </w:r>
          </w:p>
        </w:tc>
        <w:tc>
          <w:tcPr>
            <w:tcW w:type="dxa" w:w="6768"/>
            <w:vAlign w:val="top"/>
            <w:tcBorders>
              <w:bottom w:val="single" w:sz="4" w:color="D8E4EF"/>
            </w:tcBorders>
          </w:tcPr>
          <w:p>
            <w:r>
              <w:t>Wallets, blockchain deposits, supported stablecoins, capital allocation, withdrawals, treasury and settlement movements.</w:t>
            </w:r>
          </w:p>
        </w:tc>
      </w:tr>
      <w:tr>
        <w:trPr>
          <w:cantSplit w:val="true"/>
        </w:trPr>
        <w:tc>
          <w:tcPr>
            <w:tcW w:type="dxa" w:w="2880"/>
            <w:vAlign w:val="top"/>
            <w:tcBorders>
              <w:bottom w:val="single" w:sz="4" w:color="D8E4EF"/>
            </w:tcBorders>
          </w:tcPr>
          <w:p>
            <w:r>
              <w:t>Layer 2 — Broker Core</w:t>
            </w:r>
          </w:p>
        </w:tc>
        <w:tc>
          <w:tcPr>
            <w:tcW w:type="dxa" w:w="6768"/>
            <w:vAlign w:val="top"/>
            <w:tcBorders>
              <w:bottom w:val="single" w:sz="4" w:color="D8E4EF"/>
            </w:tcBorders>
          </w:tcPr>
          <w:p>
            <w:r>
              <w:t>Accounts, double-entry ledger, balances, margin obligations, P&amp;L, reconciliation, transaction records.</w:t>
            </w:r>
          </w:p>
        </w:tc>
      </w:tr>
      <w:tr>
        <w:trPr>
          <w:cantSplit w:val="true"/>
        </w:trPr>
        <w:tc>
          <w:tcPr>
            <w:tcW w:type="dxa" w:w="2880"/>
            <w:vAlign w:val="top"/>
            <w:tcBorders>
              <w:bottom w:val="single" w:sz="4" w:color="D8E4EF"/>
            </w:tcBorders>
          </w:tcPr>
          <w:p>
            <w:r>
              <w:t>Layer 3 — Trading</w:t>
            </w:r>
          </w:p>
        </w:tc>
        <w:tc>
          <w:tcPr>
            <w:tcW w:type="dxa" w:w="6768"/>
            <w:vAlign w:val="top"/>
            <w:tcBorders>
              <w:bottom w:val="single" w:sz="4" w:color="D8E4EF"/>
            </w:tcBorders>
          </w:tcPr>
          <w:p>
            <w:r>
              <w:t>MT5 initially; later ELVA terminal/mobile and selective third-party integrations.</w:t>
            </w:r>
          </w:p>
        </w:tc>
      </w:tr>
      <w:tr>
        <w:trPr>
          <w:cantSplit w:val="true"/>
        </w:trPr>
        <w:tc>
          <w:tcPr>
            <w:tcW w:type="dxa" w:w="2880"/>
            <w:vAlign w:val="top"/>
            <w:tcBorders>
              <w:bottom w:val="single" w:sz="4" w:color="D8E4EF"/>
            </w:tcBorders>
          </w:tcPr>
          <w:p>
            <w:r>
              <w:t>Layer 4 — Trading Modes</w:t>
            </w:r>
          </w:p>
        </w:tc>
        <w:tc>
          <w:tcPr>
            <w:tcW w:type="dxa" w:w="6768"/>
            <w:vAlign w:val="top"/>
            <w:tcBorders>
              <w:bottom w:val="single" w:sz="4" w:color="D8E4EF"/>
            </w:tcBorders>
          </w:tcPr>
          <w:p>
            <w:r>
              <w:t>Manual Trading, Copy Trading, Bot/Algo Trading, AI-assisted Trading.</w:t>
            </w:r>
          </w:p>
        </w:tc>
      </w:tr>
      <w:tr>
        <w:trPr>
          <w:cantSplit w:val="true"/>
        </w:trPr>
        <w:tc>
          <w:tcPr>
            <w:tcW w:type="dxa" w:w="2880"/>
            <w:vAlign w:val="top"/>
            <w:tcBorders>
              <w:bottom w:val="single" w:sz="4" w:color="D8E4EF"/>
            </w:tcBorders>
          </w:tcPr>
          <w:p>
            <w:r>
              <w:t>Layer 5 — ELVA Intelligence</w:t>
            </w:r>
          </w:p>
        </w:tc>
        <w:tc>
          <w:tcPr>
            <w:tcW w:type="dxa" w:w="6768"/>
            <w:vAlign w:val="top"/>
            <w:tcBorders>
              <w:bottom w:val="single" w:sz="4" w:color="D8E4EF"/>
            </w:tcBorders>
          </w:tcPr>
          <w:p>
            <w:r>
              <w:t>Market analysis, strategy creation/challenge, Risk Guardian, Copy Intelligence, Bot Inspector, Portfolio Doctor, monitoring and post-trade review.</w:t>
            </w:r>
          </w:p>
        </w:tc>
      </w:tr>
      <w:tr>
        <w:trPr>
          <w:cantSplit w:val="true"/>
        </w:trPr>
        <w:tc>
          <w:tcPr>
            <w:tcW w:type="dxa" w:w="2880"/>
            <w:vAlign w:val="top"/>
            <w:tcBorders>
              <w:bottom w:val="single" w:sz="4" w:color="D8E4EF"/>
            </w:tcBorders>
          </w:tcPr>
          <w:p>
            <w:r>
              <w:t>Layer 6 — Liquidity/Execution</w:t>
            </w:r>
          </w:p>
        </w:tc>
        <w:tc>
          <w:tcPr>
            <w:tcW w:type="dxa" w:w="6768"/>
            <w:vAlign w:val="top"/>
            <w:tcBorders>
              <w:bottom w:val="single" w:sz="4" w:color="D8E4EF"/>
            </w:tcBorders>
          </w:tcPr>
          <w:p>
            <w:r>
              <w:t>LP feeds, aggregation, routing, exposure, hedging, execution-quality data and future Liquidity OS.</w:t>
            </w:r>
          </w:p>
        </w:tc>
      </w:tr>
      <w:tr>
        <w:trPr>
          <w:cantSplit w:val="true"/>
        </w:trPr>
        <w:tc>
          <w:tcPr>
            <w:tcW w:type="dxa" w:w="2880"/>
            <w:vAlign w:val="top"/>
            <w:tcBorders>
              <w:bottom w:val="single" w:sz="4" w:color="D8E4EF"/>
            </w:tcBorders>
          </w:tcPr>
          <w:p>
            <w:r>
              <w:t>Layer 7 — Settlement &amp; Audit</w:t>
            </w:r>
          </w:p>
        </w:tc>
        <w:tc>
          <w:tcPr>
            <w:tcW w:type="dxa" w:w="6768"/>
            <w:vAlign w:val="top"/>
            <w:tcBorders>
              <w:bottom w:val="single" w:sz="4" w:color="D8E4EF"/>
            </w:tcBorders>
          </w:tcPr>
          <w:p>
            <w:r>
              <w:t>Reconciliation, financial obligations, settlement records, proof/anchoring where useful, blockchain transfer layer.</w:t>
            </w:r>
          </w:p>
        </w:tc>
      </w:tr>
    </w:tbl>
    <w:p/>
    <w:p>
      <w:pPr>
        <w:pStyle w:val="Heading2"/>
        <w:keepNext/>
      </w:pPr>
      <w:r>
        <w:t>Non-negotiable architecture rules</w:t>
      </w:r>
    </w:p>
    <w:p>
      <w:pPr>
        <w:pStyle w:val="BodyText"/>
        <w:spacing w:after="60"/>
        <w:ind w:left="29" w:hanging="29"/>
      </w:pPr>
      <w:r>
        <w:rPr>
          <w:b/>
        </w:rPr>
        <w:t xml:space="preserve">1.   </w:t>
      </w:r>
      <w:r>
        <w:t>Blockchain is not the high-speed trading engine.</w:t>
      </w:r>
    </w:p>
    <w:p>
      <w:pPr>
        <w:pStyle w:val="BodyText"/>
        <w:spacing w:after="60"/>
        <w:ind w:left="29" w:hanging="29"/>
      </w:pPr>
      <w:r>
        <w:rPr>
          <w:b/>
        </w:rPr>
        <w:t xml:space="preserve">2.   </w:t>
      </w:r>
      <w:r>
        <w:t>MT5 trades must not be described as on-chain trades.</w:t>
      </w:r>
    </w:p>
    <w:p>
      <w:pPr>
        <w:pStyle w:val="BodyText"/>
        <w:spacing w:after="60"/>
        <w:ind w:left="29" w:hanging="29"/>
      </w:pPr>
      <w:r>
        <w:rPr>
          <w:b/>
        </w:rPr>
        <w:t xml:space="preserve">3.   </w:t>
      </w:r>
      <w:r>
        <w:t>The internal double-entry ledger is the broker accounting source-of-truth for consolidated financial obligations.</w:t>
      </w:r>
    </w:p>
    <w:p>
      <w:pPr>
        <w:pStyle w:val="BodyText"/>
        <w:spacing w:after="60"/>
        <w:ind w:left="29" w:hanging="29"/>
      </w:pPr>
      <w:r>
        <w:rPr>
          <w:b/>
        </w:rPr>
        <w:t xml:space="preserve">4.   </w:t>
      </w:r>
      <w:r>
        <w:t>Blockchain records, MT5 records and the internal ledger must reconcile continuously.</w:t>
      </w:r>
    </w:p>
    <w:p>
      <w:pPr>
        <w:pStyle w:val="BodyText"/>
        <w:spacing w:after="60"/>
        <w:ind w:left="29" w:hanging="29"/>
      </w:pPr>
      <w:r>
        <w:rPr>
          <w:b/>
        </w:rPr>
        <w:t xml:space="preserve">5.   </w:t>
      </w:r>
      <w:r>
        <w:t>AI reasoning and the deterministic Risk Engine are separate systems.</w:t>
      </w:r>
    </w:p>
    <w:p>
      <w:pPr>
        <w:pStyle w:val="BodyText"/>
        <w:spacing w:after="60"/>
        <w:ind w:left="29" w:hanging="29"/>
      </w:pPr>
      <w:r>
        <w:rPr>
          <w:b/>
        </w:rPr>
        <w:t xml:space="preserve">6.   </w:t>
      </w:r>
      <w:r>
        <w:t>AI cannot override the Risk Engine or custody controls.</w:t>
      </w:r>
    </w:p>
    <w:p>
      <w:pPr>
        <w:pStyle w:val="BodyText"/>
        <w:spacing w:after="60"/>
        <w:ind w:left="29" w:hanging="29"/>
      </w:pPr>
      <w:r>
        <w:rPr>
          <w:b/>
        </w:rPr>
        <w:t xml:space="preserve">7.   </w:t>
      </w:r>
      <w:r>
        <w:t>Manual trading must remain available even if the AI service is unavailable.</w:t>
      </w:r>
    </w:p>
    <w:p>
      <w:pPr>
        <w:pStyle w:val="BodyText"/>
        <w:spacing w:after="60"/>
        <w:ind w:left="29" w:hanging="29"/>
      </w:pPr>
      <w:r>
        <w:rPr>
          <w:b/>
        </w:rPr>
        <w:t xml:space="preserve">8.   </w:t>
      </w:r>
      <w:r>
        <w:t>If the Risk Engine is unavailable, automated execution must fail closed.</w:t>
      </w:r>
    </w:p>
    <w:p>
      <w:pPr>
        <w:pStyle w:val="Heading1"/>
        <w:keepNext/>
      </w:pPr>
      <w:r>
        <w:t>5. Capital &amp; Transaction Lifecycle</w:t>
      </w:r>
    </w:p>
    <w:p>
      <w:pPr>
        <w:pStyle w:val="Heading2"/>
        <w:keepNext/>
      </w:pPr>
      <w:r>
        <w:t>Approved lifecycle</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98C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CAPITAL FLOW</w:t>
            </w:r>
          </w:p>
          <w:p>
            <w:pPr>
              <w:pStyle w:val="BodyText"/>
              <w:spacing w:after="80"/>
            </w:pPr>
            <w:r>
              <w:t>Deposit → Confirm → Credit Ledger → Allocate → Reserve → Trade → Realize P&amp;L → Reconcile → Release → Withdraw / Settle</w:t>
            </w:r>
          </w:p>
        </w:tc>
      </w:tr>
    </w:tbl>
    <w:p>
      <w:pPr>
        <w:spacing w:after="20"/>
      </w:pPr>
    </w:p>
    <w:p>
      <w:pPr>
        <w:pStyle w:val="BodyText"/>
      </w:pPr>
      <w:r>
        <w:rPr>
          <w:i w:val="0"/>
        </w:rPr>
        <w:t>The product should visibly distinguish capital states rather than showing one ambiguous balance.</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State</w:t>
            </w:r>
          </w:p>
        </w:tc>
        <w:tc>
          <w:tcPr>
            <w:tcW w:type="dxa" w:w="4917"/>
            <w:shd w:fill="0B1B2D"/>
            <w:vAlign w:val="center"/>
          </w:tcPr>
          <w:p>
            <w:r>
              <w:rPr>
                <w:b/>
                <w:color w:val="FFFFFF"/>
              </w:rPr>
              <w:t>Meaning</w:t>
            </w:r>
          </w:p>
        </w:tc>
      </w:tr>
      <w:tr>
        <w:trPr>
          <w:cantSplit w:val="true"/>
        </w:trPr>
        <w:tc>
          <w:tcPr>
            <w:tcW w:type="dxa" w:w="2880"/>
            <w:vAlign w:val="top"/>
            <w:tcBorders>
              <w:bottom w:val="single" w:sz="4" w:color="D8E4EF"/>
            </w:tcBorders>
          </w:tcPr>
          <w:p>
            <w:r>
              <w:t>Total Capital</w:t>
            </w:r>
          </w:p>
        </w:tc>
        <w:tc>
          <w:tcPr>
            <w:tcW w:type="dxa" w:w="6768"/>
            <w:vAlign w:val="top"/>
            <w:tcBorders>
              <w:bottom w:val="single" w:sz="4" w:color="D8E4EF"/>
            </w:tcBorders>
          </w:tcPr>
          <w:p>
            <w:r>
              <w:t>Total value recognized for the user across supported capital states.</w:t>
            </w:r>
          </w:p>
        </w:tc>
      </w:tr>
      <w:tr>
        <w:trPr>
          <w:cantSplit w:val="true"/>
        </w:trPr>
        <w:tc>
          <w:tcPr>
            <w:tcW w:type="dxa" w:w="2880"/>
            <w:vAlign w:val="top"/>
            <w:tcBorders>
              <w:bottom w:val="single" w:sz="4" w:color="D8E4EF"/>
            </w:tcBorders>
          </w:tcPr>
          <w:p>
            <w:r>
              <w:t>Trading Allocation</w:t>
            </w:r>
          </w:p>
        </w:tc>
        <w:tc>
          <w:tcPr>
            <w:tcW w:type="dxa" w:w="6768"/>
            <w:vAlign w:val="top"/>
            <w:tcBorders>
              <w:bottom w:val="single" w:sz="4" w:color="D8E4EF"/>
            </w:tcBorders>
          </w:tcPr>
          <w:p>
            <w:r>
              <w:t>Capital the user intentionally assigns to a trading mode/account.</w:t>
            </w:r>
          </w:p>
        </w:tc>
      </w:tr>
      <w:tr>
        <w:trPr>
          <w:cantSplit w:val="true"/>
        </w:trPr>
        <w:tc>
          <w:tcPr>
            <w:tcW w:type="dxa" w:w="2880"/>
            <w:vAlign w:val="top"/>
            <w:tcBorders>
              <w:bottom w:val="single" w:sz="4" w:color="D8E4EF"/>
            </w:tcBorders>
          </w:tcPr>
          <w:p>
            <w:r>
              <w:t>Reserved Margin / Collateral</w:t>
            </w:r>
          </w:p>
        </w:tc>
        <w:tc>
          <w:tcPr>
            <w:tcW w:type="dxa" w:w="6768"/>
            <w:vAlign w:val="top"/>
            <w:tcBorders>
              <w:bottom w:val="single" w:sz="4" w:color="D8E4EF"/>
            </w:tcBorders>
          </w:tcPr>
          <w:p>
            <w:r>
              <w:t>Capital reserved against current trading obligations.</w:t>
            </w:r>
          </w:p>
        </w:tc>
      </w:tr>
      <w:tr>
        <w:trPr>
          <w:cantSplit w:val="true"/>
        </w:trPr>
        <w:tc>
          <w:tcPr>
            <w:tcW w:type="dxa" w:w="2880"/>
            <w:vAlign w:val="top"/>
            <w:tcBorders>
              <w:bottom w:val="single" w:sz="4" w:color="D8E4EF"/>
            </w:tcBorders>
          </w:tcPr>
          <w:p>
            <w:r>
              <w:t>Settlement Pending</w:t>
            </w:r>
          </w:p>
        </w:tc>
        <w:tc>
          <w:tcPr>
            <w:tcW w:type="dxa" w:w="6768"/>
            <w:vAlign w:val="top"/>
            <w:tcBorders>
              <w:bottom w:val="single" w:sz="4" w:color="D8E4EF"/>
            </w:tcBorders>
          </w:tcPr>
          <w:p>
            <w:r>
              <w:t>Realized obligations awaiting reconciliation or settlement completion.</w:t>
            </w:r>
          </w:p>
        </w:tc>
      </w:tr>
      <w:tr>
        <w:trPr>
          <w:cantSplit w:val="true"/>
        </w:trPr>
        <w:tc>
          <w:tcPr>
            <w:tcW w:type="dxa" w:w="2880"/>
            <w:vAlign w:val="top"/>
            <w:tcBorders>
              <w:bottom w:val="single" w:sz="4" w:color="D8E4EF"/>
            </w:tcBorders>
          </w:tcPr>
          <w:p>
            <w:r>
              <w:t>Withdrawable</w:t>
            </w:r>
          </w:p>
        </w:tc>
        <w:tc>
          <w:tcPr>
            <w:tcW w:type="dxa" w:w="6768"/>
            <w:vAlign w:val="top"/>
            <w:tcBorders>
              <w:bottom w:val="single" w:sz="4" w:color="D8E4EF"/>
            </w:tcBorders>
          </w:tcPr>
          <w:p>
            <w:r>
              <w:t>Capital currently eligible to be withdrawn under platform rules.</w:t>
            </w:r>
          </w:p>
        </w:tc>
      </w:tr>
      <w:tr>
        <w:trPr>
          <w:cantSplit w:val="true"/>
        </w:trPr>
        <w:tc>
          <w:tcPr>
            <w:tcW w:type="dxa" w:w="2880"/>
            <w:vAlign w:val="top"/>
            <w:tcBorders>
              <w:bottom w:val="single" w:sz="4" w:color="D8E4EF"/>
            </w:tcBorders>
          </w:tcPr>
          <w:p>
            <w:r>
              <w:t>Unallocated</w:t>
            </w:r>
          </w:p>
        </w:tc>
        <w:tc>
          <w:tcPr>
            <w:tcW w:type="dxa" w:w="6768"/>
            <w:vAlign w:val="top"/>
            <w:tcBorders>
              <w:bottom w:val="single" w:sz="4" w:color="D8E4EF"/>
            </w:tcBorders>
          </w:tcPr>
          <w:p>
            <w:r>
              <w:t>Capital held outside active trading allocation.</w:t>
            </w:r>
          </w:p>
        </w:tc>
      </w:tr>
    </w:tbl>
    <w:p/>
    <w:p>
      <w:pPr>
        <w:pStyle w:val="Heading2"/>
        <w:keepNext/>
      </w:pPr>
      <w:r>
        <w:t>Controlled Capital Account</w:t>
      </w:r>
    </w:p>
    <w:p>
      <w:pPr>
        <w:pStyle w:val="BodyText"/>
      </w:pPr>
      <w:r>
        <w:rPr>
          <w:i w:val="0"/>
        </w:rPr>
        <w:t>A core design concept is that a user should choose how much capital is available to a given trading mode. Unallocated capital remains separate. This supports clearer risk boundaries and makes AI, bot and copy permissions easier to reason about.</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E4545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IMPORTANT LIMITATION</w:t>
            </w:r>
          </w:p>
          <w:p>
            <w:pPr>
              <w:pStyle w:val="BodyText"/>
              <w:spacing w:after="80"/>
            </w:pPr>
            <w:r>
              <w:t>Do not promise that losses can never exceed allocation under every market condition. Gaps, slippage, liquidation mechanics and extreme volatility can create outcomes that exceed intended limits unless the specific product structure technically guarantees otherwise.</w:t>
            </w:r>
          </w:p>
        </w:tc>
      </w:tr>
    </w:tbl>
    <w:p>
      <w:pPr>
        <w:spacing w:after="20"/>
      </w:pPr>
    </w:p>
    <w:p>
      <w:pPr>
        <w:pStyle w:val="Heading1"/>
        <w:keepNext/>
      </w:pPr>
      <w:r>
        <w:t>6. Trading Modes</w:t>
      </w:r>
    </w:p>
    <w:tbl>
      <w:tblPr>
        <w:tblW w:type="auto" w:w="0"/>
        <w:jc w:val="center"/>
        <w:tblLayout w:type="autofit"/>
        <w:tblLook w:firstColumn="1" w:firstRow="1" w:lastColumn="0" w:lastRow="0" w:noHBand="0" w:noVBand="1" w:val="04A0"/>
      </w:tblPr>
      <w:tblGrid>
        <w:gridCol w:w="3278"/>
        <w:gridCol w:w="3278"/>
        <w:gridCol w:w="3278"/>
      </w:tblGrid>
      <w:tr>
        <w:trPr>
          <w:tblHeader w:val="true"/>
          <w:cantSplit w:val="true"/>
        </w:trPr>
        <w:tc>
          <w:tcPr>
            <w:tcW w:type="dxa" w:w="3278"/>
            <w:shd w:fill="0B1B2D"/>
          </w:tcPr>
          <w:p>
            <w:r>
              <w:rPr>
                <w:b/>
                <w:color w:val="FFFFFF"/>
              </w:rPr>
              <w:t>Mode</w:t>
            </w:r>
          </w:p>
        </w:tc>
        <w:tc>
          <w:tcPr>
            <w:tcW w:type="dxa" w:w="3278"/>
            <w:shd w:fill="0B1B2D"/>
          </w:tcPr>
          <w:p>
            <w:r>
              <w:rPr>
                <w:b/>
                <w:color w:val="FFFFFF"/>
              </w:rPr>
              <w:t>How It Works</w:t>
            </w:r>
          </w:p>
        </w:tc>
        <w:tc>
          <w:tcPr>
            <w:tcW w:type="dxa" w:w="3278"/>
            <w:shd w:fill="0B1B2D"/>
          </w:tcPr>
          <w:p>
            <w:r>
              <w:rPr>
                <w:b/>
                <w:color w:val="FFFFFF"/>
              </w:rPr>
              <w:t>Hard Boundary</w:t>
            </w:r>
          </w:p>
        </w:tc>
      </w:tr>
      <w:tr>
        <w:trPr>
          <w:cantSplit w:val="true"/>
        </w:trPr>
        <w:tc>
          <w:tcPr>
            <w:tcW w:type="dxa" w:w="3278"/>
            <w:tcBorders>
              <w:bottom w:val="single" w:sz="4" w:color="D8E4EF"/>
            </w:tcBorders>
          </w:tcPr>
          <w:p>
            <w:r>
              <w:t>Manual Trading</w:t>
            </w:r>
          </w:p>
        </w:tc>
        <w:tc>
          <w:tcPr>
            <w:tcW w:type="dxa" w:w="3278"/>
            <w:tcBorders>
              <w:bottom w:val="single" w:sz="4" w:color="D8E4EF"/>
            </w:tcBorders>
          </w:tcPr>
          <w:p>
            <w:r>
              <w:t>User executes directly through MT5 / future ELVA terminal.</w:t>
            </w:r>
          </w:p>
        </w:tc>
        <w:tc>
          <w:tcPr>
            <w:tcW w:type="dxa" w:w="3278"/>
            <w:tcBorders>
              <w:bottom w:val="single" w:sz="4" w:color="D8E4EF"/>
            </w:tcBorders>
          </w:tcPr>
          <w:p>
            <w:r>
              <w:t>Account-wide risk, product eligibility and margin rules still apply.</w:t>
            </w:r>
          </w:p>
        </w:tc>
      </w:tr>
      <w:tr>
        <w:trPr>
          <w:cantSplit w:val="true"/>
        </w:trPr>
        <w:tc>
          <w:tcPr>
            <w:tcW w:type="dxa" w:w="3278"/>
            <w:tcBorders>
              <w:bottom w:val="single" w:sz="4" w:color="D8E4EF"/>
            </w:tcBorders>
          </w:tcPr>
          <w:p>
            <w:r>
              <w:t>Copy Trading</w:t>
            </w:r>
          </w:p>
        </w:tc>
        <w:tc>
          <w:tcPr>
            <w:tcW w:type="dxa" w:w="3278"/>
            <w:tcBorders>
              <w:bottom w:val="single" w:sz="4" w:color="D8E4EF"/>
            </w:tcBorders>
          </w:tcPr>
          <w:p>
            <w:r>
              <w:t>User selects a verified strategy provider and assigns dedicated capital/risk rules.</w:t>
            </w:r>
          </w:p>
        </w:tc>
        <w:tc>
          <w:tcPr>
            <w:tcW w:type="dxa" w:w="3278"/>
            <w:tcBorders>
              <w:bottom w:val="single" w:sz="4" w:color="D8E4EF"/>
            </w:tcBorders>
          </w:tcPr>
          <w:p>
            <w:r>
              <w:t>Provider performance must be represented with verified metrics and risk characteristics.</w:t>
            </w:r>
          </w:p>
        </w:tc>
      </w:tr>
      <w:tr>
        <w:trPr>
          <w:cantSplit w:val="true"/>
        </w:trPr>
        <w:tc>
          <w:tcPr>
            <w:tcW w:type="dxa" w:w="3278"/>
            <w:tcBorders>
              <w:bottom w:val="single" w:sz="4" w:color="D8E4EF"/>
            </w:tcBorders>
          </w:tcPr>
          <w:p>
            <w:r>
              <w:t>Bot / Algo Trading</w:t>
            </w:r>
          </w:p>
        </w:tc>
        <w:tc>
          <w:tcPr>
            <w:tcW w:type="dxa" w:w="3278"/>
            <w:tcBorders>
              <w:bottom w:val="single" w:sz="4" w:color="D8E4EF"/>
            </w:tcBorders>
          </w:tcPr>
          <w:p>
            <w:r>
              <w:t>User runs permitted automation / EAs inside defined account permissions.</w:t>
            </w:r>
          </w:p>
        </w:tc>
        <w:tc>
          <w:tcPr>
            <w:tcW w:type="dxa" w:w="3278"/>
            <w:tcBorders>
              <w:bottom w:val="single" w:sz="4" w:color="D8E4EF"/>
            </w:tcBorders>
          </w:tcPr>
          <w:p>
            <w:r>
              <w:t>Bots cannot withdraw, modify custody, or bypass risk boundaries.</w:t>
            </w:r>
          </w:p>
        </w:tc>
      </w:tr>
      <w:tr>
        <w:trPr>
          <w:cantSplit w:val="true"/>
        </w:trPr>
        <w:tc>
          <w:tcPr>
            <w:tcW w:type="dxa" w:w="3278"/>
            <w:tcBorders>
              <w:bottom w:val="single" w:sz="4" w:color="D8E4EF"/>
            </w:tcBorders>
          </w:tcPr>
          <w:p>
            <w:r>
              <w:t>AI-Assisted Trading</w:t>
            </w:r>
          </w:p>
        </w:tc>
        <w:tc>
          <w:tcPr>
            <w:tcW w:type="dxa" w:w="3278"/>
            <w:tcBorders>
              <w:bottom w:val="single" w:sz="4" w:color="D8E4EF"/>
            </w:tcBorders>
          </w:tcPr>
          <w:p>
            <w:r>
              <w:t>ELVA Intelligence analyzes, builds, challenges, monitors and may execute within explicit permissions.</w:t>
            </w:r>
          </w:p>
        </w:tc>
        <w:tc>
          <w:tcPr>
            <w:tcW w:type="dxa" w:w="3278"/>
            <w:tcBorders>
              <w:bottom w:val="single" w:sz="4" w:color="D8E4EF"/>
            </w:tcBorders>
          </w:tcPr>
          <w:p>
            <w:r>
              <w:t>AI never controls custody and never overrides deterministic risk rules.</w:t>
            </w:r>
          </w:p>
        </w:tc>
      </w:tr>
    </w:tbl>
    <w:p/>
    <w:p>
      <w:pPr>
        <w:pStyle w:val="BodyText"/>
      </w:pPr>
      <w:r>
        <w:rPr>
          <w:i w:val="0"/>
        </w:rPr>
        <w:t>Each trading mode should use a dedicated allocation/account context where practical, so the user can understand exposure and prevent one automation mode from silently consuming capital intended for another.</w:t>
      </w:r>
    </w:p>
    <w:p>
      <w:pPr>
        <w:pStyle w:val="Heading1"/>
        <w:keepNext/>
      </w:pPr>
      <w:r>
        <w:t>7. ELVA Intelligence</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8D7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PRODUCT DEFINITION</w:t>
            </w:r>
          </w:p>
          <w:p>
            <w:pPr>
              <w:pStyle w:val="BodyText"/>
              <w:spacing w:after="80"/>
            </w:pPr>
            <w:r>
              <w:t>ELVA Intelligence is not merely an AI chatbot or signal generator. It is the intelligence operating layer across market analysis, strategy construction, risk validation, automation, copy trading, bot analysis, monitoring and learning.</w:t>
            </w:r>
          </w:p>
        </w:tc>
      </w:tr>
    </w:tbl>
    <w:p>
      <w:pPr>
        <w:spacing w:after="20"/>
      </w:pPr>
    </w:p>
    <w:p>
      <w:pPr>
        <w:pStyle w:val="Heading2"/>
        <w:keepNext/>
      </w:pPr>
      <w:r>
        <w:t>Signature lifecycle</w:t>
      </w:r>
    </w:p>
    <w:p>
      <w:pPr>
        <w:pStyle w:val="BodyText"/>
        <w:jc w:val="center"/>
      </w:pPr>
      <w:r>
        <w:rPr>
          <w:i w:val="0"/>
        </w:rPr>
        <w:t>ASK → ANALYZE → CHALLENGE → BUILD → RISK CHECK → CONFIRM → EXECUTE → MONITOR → REVIEW</w:t>
      </w:r>
    </w:p>
    <w:p>
      <w:pPr>
        <w:pStyle w:val="Heading2"/>
        <w:keepNext/>
      </w:pPr>
      <w:r>
        <w:t>Core modules</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Module</w:t>
            </w:r>
          </w:p>
        </w:tc>
        <w:tc>
          <w:tcPr>
            <w:tcW w:type="dxa" w:w="4917"/>
            <w:shd w:fill="0B1B2D"/>
            <w:vAlign w:val="center"/>
          </w:tcPr>
          <w:p>
            <w:r>
              <w:rPr>
                <w:b/>
                <w:color w:val="FFFFFF"/>
              </w:rPr>
              <w:t>Purpose</w:t>
            </w:r>
          </w:p>
        </w:tc>
      </w:tr>
      <w:tr>
        <w:trPr>
          <w:cantSplit w:val="true"/>
        </w:trPr>
        <w:tc>
          <w:tcPr>
            <w:tcW w:type="dxa" w:w="2880"/>
            <w:vAlign w:val="top"/>
            <w:tcBorders>
              <w:bottom w:val="single" w:sz="4" w:color="D8E4EF"/>
            </w:tcBorders>
          </w:tcPr>
          <w:p>
            <w:r>
              <w:t>AI Copilot</w:t>
            </w:r>
          </w:p>
        </w:tc>
        <w:tc>
          <w:tcPr>
            <w:tcW w:type="dxa" w:w="6768"/>
            <w:vAlign w:val="top"/>
            <w:tcBorders>
              <w:bottom w:val="single" w:sz="4" w:color="D8E4EF"/>
            </w:tcBorders>
          </w:tcPr>
          <w:p>
            <w:r>
              <w:t>Natural-language interface for analysis, strategies and user questions.</w:t>
            </w:r>
          </w:p>
        </w:tc>
      </w:tr>
      <w:tr>
        <w:trPr>
          <w:cantSplit w:val="true"/>
        </w:trPr>
        <w:tc>
          <w:tcPr>
            <w:tcW w:type="dxa" w:w="2880"/>
            <w:vAlign w:val="top"/>
            <w:tcBorders>
              <w:bottom w:val="single" w:sz="4" w:color="D8E4EF"/>
            </w:tcBorders>
          </w:tcPr>
          <w:p>
            <w:r>
              <w:t>Market Scanner</w:t>
            </w:r>
          </w:p>
        </w:tc>
        <w:tc>
          <w:tcPr>
            <w:tcW w:type="dxa" w:w="6768"/>
            <w:vAlign w:val="top"/>
            <w:tcBorders>
              <w:bottom w:val="single" w:sz="4" w:color="D8E4EF"/>
            </w:tcBorders>
          </w:tcPr>
          <w:p>
            <w:r>
              <w:t>Scans eligible markets using price, trend, momentum, volatility, spreads, sessions, macro/event risk and account context.</w:t>
            </w:r>
          </w:p>
        </w:tc>
      </w:tr>
      <w:tr>
        <w:trPr>
          <w:cantSplit w:val="true"/>
        </w:trPr>
        <w:tc>
          <w:tcPr>
            <w:tcW w:type="dxa" w:w="2880"/>
            <w:vAlign w:val="top"/>
            <w:tcBorders>
              <w:bottom w:val="single" w:sz="4" w:color="D8E4EF"/>
            </w:tcBorders>
          </w:tcPr>
          <w:p>
            <w:r>
              <w:t>Strategy Engine</w:t>
            </w:r>
          </w:p>
        </w:tc>
        <w:tc>
          <w:tcPr>
            <w:tcW w:type="dxa" w:w="6768"/>
            <w:vAlign w:val="top"/>
            <w:tcBorders>
              <w:bottom w:val="single" w:sz="4" w:color="D8E4EF"/>
            </w:tcBorders>
          </w:tcPr>
          <w:p>
            <w:r>
              <w:t>Constructs approved strategy families and produces structured setups.</w:t>
            </w:r>
          </w:p>
        </w:tc>
      </w:tr>
      <w:tr>
        <w:trPr>
          <w:cantSplit w:val="true"/>
        </w:trPr>
        <w:tc>
          <w:tcPr>
            <w:tcW w:type="dxa" w:w="2880"/>
            <w:vAlign w:val="top"/>
            <w:tcBorders>
              <w:bottom w:val="single" w:sz="4" w:color="D8E4EF"/>
            </w:tcBorders>
          </w:tcPr>
          <w:p>
            <w:r>
              <w:t>Challenge Layer</w:t>
            </w:r>
          </w:p>
        </w:tc>
        <w:tc>
          <w:tcPr>
            <w:tcW w:type="dxa" w:w="6768"/>
            <w:vAlign w:val="top"/>
            <w:tcBorders>
              <w:bottom w:val="single" w:sz="4" w:color="D8E4EF"/>
            </w:tcBorders>
          </w:tcPr>
          <w:p>
            <w:r>
              <w:t>Generates counter-case, material risks and invalidation conditions before execution.</w:t>
            </w:r>
          </w:p>
        </w:tc>
      </w:tr>
      <w:tr>
        <w:trPr>
          <w:cantSplit w:val="true"/>
        </w:trPr>
        <w:tc>
          <w:tcPr>
            <w:tcW w:type="dxa" w:w="2880"/>
            <w:vAlign w:val="top"/>
            <w:tcBorders>
              <w:bottom w:val="single" w:sz="4" w:color="D8E4EF"/>
            </w:tcBorders>
          </w:tcPr>
          <w:p>
            <w:r>
              <w:t>Risk Guardian</w:t>
            </w:r>
          </w:p>
        </w:tc>
        <w:tc>
          <w:tcPr>
            <w:tcW w:type="dxa" w:w="6768"/>
            <w:vAlign w:val="top"/>
            <w:tcBorders>
              <w:bottom w:val="single" w:sz="4" w:color="D8E4EF"/>
            </w:tcBorders>
          </w:tcPr>
          <w:p>
            <w:r>
              <w:t>Passes proposed actions through deterministic limits and portfolio constraints.</w:t>
            </w:r>
          </w:p>
        </w:tc>
      </w:tr>
      <w:tr>
        <w:trPr>
          <w:cantSplit w:val="true"/>
        </w:trPr>
        <w:tc>
          <w:tcPr>
            <w:tcW w:type="dxa" w:w="2880"/>
            <w:vAlign w:val="top"/>
            <w:tcBorders>
              <w:bottom w:val="single" w:sz="4" w:color="D8E4EF"/>
            </w:tcBorders>
          </w:tcPr>
          <w:p>
            <w:r>
              <w:t>Portfolio Doctor</w:t>
            </w:r>
          </w:p>
        </w:tc>
        <w:tc>
          <w:tcPr>
            <w:tcW w:type="dxa" w:w="6768"/>
            <w:vAlign w:val="top"/>
            <w:tcBorders>
              <w:bottom w:val="single" w:sz="4" w:color="D8E4EF"/>
            </w:tcBorders>
          </w:tcPr>
          <w:p>
            <w:r>
              <w:t>Analyzes concentration, leverage, exposure and behavioral risk.</w:t>
            </w:r>
          </w:p>
        </w:tc>
      </w:tr>
      <w:tr>
        <w:trPr>
          <w:cantSplit w:val="true"/>
        </w:trPr>
        <w:tc>
          <w:tcPr>
            <w:tcW w:type="dxa" w:w="2880"/>
            <w:vAlign w:val="top"/>
            <w:tcBorders>
              <w:bottom w:val="single" w:sz="4" w:color="D8E4EF"/>
            </w:tcBorders>
          </w:tcPr>
          <w:p>
            <w:r>
              <w:t>Copy Intelligence</w:t>
            </w:r>
          </w:p>
        </w:tc>
        <w:tc>
          <w:tcPr>
            <w:tcW w:type="dxa" w:w="6768"/>
            <w:vAlign w:val="top"/>
            <w:tcBorders>
              <w:bottom w:val="single" w:sz="4" w:color="D8E4EF"/>
            </w:tcBorders>
          </w:tcPr>
          <w:p>
            <w:r>
              <w:t>Analyzes verified strategy-provider behavior and risk characteristics.</w:t>
            </w:r>
          </w:p>
        </w:tc>
      </w:tr>
      <w:tr>
        <w:trPr>
          <w:cantSplit w:val="true"/>
        </w:trPr>
        <w:tc>
          <w:tcPr>
            <w:tcW w:type="dxa" w:w="2880"/>
            <w:vAlign w:val="top"/>
            <w:tcBorders>
              <w:bottom w:val="single" w:sz="4" w:color="D8E4EF"/>
            </w:tcBorders>
          </w:tcPr>
          <w:p>
            <w:r>
              <w:t>Bot Inspector</w:t>
            </w:r>
          </w:p>
        </w:tc>
        <w:tc>
          <w:tcPr>
            <w:tcW w:type="dxa" w:w="6768"/>
            <w:vAlign w:val="top"/>
            <w:tcBorders>
              <w:bottom w:val="single" w:sz="4" w:color="D8E4EF"/>
            </w:tcBorders>
          </w:tcPr>
          <w:p>
            <w:r>
              <w:t>Reviews bot/EA history, backtests, live results, behavior and failure regimes.</w:t>
            </w:r>
          </w:p>
        </w:tc>
      </w:tr>
      <w:tr>
        <w:trPr>
          <w:cantSplit w:val="true"/>
        </w:trPr>
        <w:tc>
          <w:tcPr>
            <w:tcW w:type="dxa" w:w="2880"/>
            <w:vAlign w:val="top"/>
            <w:tcBorders>
              <w:bottom w:val="single" w:sz="4" w:color="D8E4EF"/>
            </w:tcBorders>
          </w:tcPr>
          <w:p>
            <w:r>
              <w:t>Position Monitor</w:t>
            </w:r>
          </w:p>
        </w:tc>
        <w:tc>
          <w:tcPr>
            <w:tcW w:type="dxa" w:w="6768"/>
            <w:vAlign w:val="top"/>
            <w:tcBorders>
              <w:bottom w:val="single" w:sz="4" w:color="D8E4EF"/>
            </w:tcBorders>
          </w:tcPr>
          <w:p>
            <w:r>
              <w:t>Tracks whether the original thesis remains valid and what changed.</w:t>
            </w:r>
          </w:p>
        </w:tc>
      </w:tr>
      <w:tr>
        <w:trPr>
          <w:cantSplit w:val="true"/>
        </w:trPr>
        <w:tc>
          <w:tcPr>
            <w:tcW w:type="dxa" w:w="2880"/>
            <w:vAlign w:val="top"/>
            <w:tcBorders>
              <w:bottom w:val="single" w:sz="4" w:color="D8E4EF"/>
            </w:tcBorders>
          </w:tcPr>
          <w:p>
            <w:r>
              <w:t>Post-Trade Review</w:t>
            </w:r>
          </w:p>
        </w:tc>
        <w:tc>
          <w:tcPr>
            <w:tcW w:type="dxa" w:w="6768"/>
            <w:vAlign w:val="top"/>
            <w:tcBorders>
              <w:bottom w:val="single" w:sz="4" w:color="D8E4EF"/>
            </w:tcBorders>
          </w:tcPr>
          <w:p>
            <w:r>
              <w:t>Creates structured trade journal analysis and learning feedback.</w:t>
            </w:r>
          </w:p>
        </w:tc>
      </w:tr>
    </w:tbl>
    <w:p/>
    <w:p>
      <w:pPr>
        <w:pStyle w:val="Heading2"/>
        <w:keepNext/>
      </w:pPr>
      <w:r>
        <w:t>AI operating modes</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Mode</w:t>
            </w:r>
          </w:p>
        </w:tc>
        <w:tc>
          <w:tcPr>
            <w:tcW w:type="dxa" w:w="4917"/>
            <w:shd w:fill="0B1B2D"/>
            <w:vAlign w:val="center"/>
          </w:tcPr>
          <w:p>
            <w:r>
              <w:rPr>
                <w:b/>
                <w:color w:val="FFFFFF"/>
              </w:rPr>
              <w:t>Permission Model</w:t>
            </w:r>
          </w:p>
        </w:tc>
      </w:tr>
      <w:tr>
        <w:trPr>
          <w:cantSplit w:val="true"/>
        </w:trPr>
        <w:tc>
          <w:tcPr>
            <w:tcW w:type="dxa" w:w="2880"/>
            <w:vAlign w:val="top"/>
            <w:tcBorders>
              <w:bottom w:val="single" w:sz="4" w:color="D8E4EF"/>
            </w:tcBorders>
          </w:tcPr>
          <w:p>
            <w:r>
              <w:t>Copilot</w:t>
            </w:r>
          </w:p>
        </w:tc>
        <w:tc>
          <w:tcPr>
            <w:tcW w:type="dxa" w:w="6768"/>
            <w:vAlign w:val="top"/>
            <w:tcBorders>
              <w:bottom w:val="single" w:sz="4" w:color="D8E4EF"/>
            </w:tcBorders>
          </w:tcPr>
          <w:p>
            <w:r>
              <w:t>Analysis and recommendations only. User executes manually.</w:t>
            </w:r>
          </w:p>
        </w:tc>
      </w:tr>
      <w:tr>
        <w:trPr>
          <w:cantSplit w:val="true"/>
        </w:trPr>
        <w:tc>
          <w:tcPr>
            <w:tcW w:type="dxa" w:w="2880"/>
            <w:vAlign w:val="top"/>
            <w:tcBorders>
              <w:bottom w:val="single" w:sz="4" w:color="D8E4EF"/>
            </w:tcBorders>
          </w:tcPr>
          <w:p>
            <w:r>
              <w:t>Confirm</w:t>
            </w:r>
          </w:p>
        </w:tc>
        <w:tc>
          <w:tcPr>
            <w:tcW w:type="dxa" w:w="6768"/>
            <w:vAlign w:val="top"/>
            <w:tcBorders>
              <w:bottom w:val="single" w:sz="4" w:color="D8E4EF"/>
            </w:tcBorders>
          </w:tcPr>
          <w:p>
            <w:r>
              <w:t>AI prepares the action; user approves every trade/action before execution.</w:t>
            </w:r>
          </w:p>
        </w:tc>
      </w:tr>
      <w:tr>
        <w:trPr>
          <w:cantSplit w:val="true"/>
        </w:trPr>
        <w:tc>
          <w:tcPr>
            <w:tcW w:type="dxa" w:w="2880"/>
            <w:vAlign w:val="top"/>
            <w:tcBorders>
              <w:bottom w:val="single" w:sz="4" w:color="D8E4EF"/>
            </w:tcBorders>
          </w:tcPr>
          <w:p>
            <w:r>
              <w:t>Autopilot</w:t>
            </w:r>
          </w:p>
        </w:tc>
        <w:tc>
          <w:tcPr>
            <w:tcW w:type="dxa" w:w="6768"/>
            <w:vAlign w:val="top"/>
            <w:tcBorders>
              <w:bottom w:val="single" w:sz="4" w:color="D8E4EF"/>
            </w:tcBorders>
          </w:tcPr>
          <w:p>
            <w:r>
              <w:t>AI may execute only inside pre-approved markets, capital, leverage and risk boundaries.</w:t>
            </w:r>
          </w:p>
        </w:tc>
      </w:tr>
    </w:tbl>
    <w:p/>
    <w:p>
      <w:pPr>
        <w:pStyle w:val="Heading2"/>
        <w:keepNext/>
      </w:pPr>
      <w:r>
        <w:t>Strategy library baseline</w:t>
      </w:r>
    </w:p>
    <w:p>
      <w:pPr>
        <w:pStyle w:val="ListBullet"/>
        <w:spacing w:after="80"/>
      </w:pPr>
      <w:r>
        <w:t>Trend Following</w:t>
      </w:r>
    </w:p>
    <w:p>
      <w:pPr>
        <w:pStyle w:val="ListBullet"/>
        <w:spacing w:after="80"/>
      </w:pPr>
      <w:r>
        <w:t>Breakout</w:t>
      </w:r>
    </w:p>
    <w:p>
      <w:pPr>
        <w:pStyle w:val="ListBullet"/>
        <w:spacing w:after="80"/>
      </w:pPr>
      <w:r>
        <w:t>Mean Reversion</w:t>
      </w:r>
    </w:p>
    <w:p>
      <w:pPr>
        <w:pStyle w:val="ListBullet"/>
        <w:spacing w:after="80"/>
      </w:pPr>
      <w:r>
        <w:t>RSI Reversal</w:t>
      </w:r>
    </w:p>
    <w:p>
      <w:pPr>
        <w:pStyle w:val="ListBullet"/>
        <w:spacing w:after="80"/>
      </w:pPr>
      <w:r>
        <w:t>DCA / Position Scaling</w:t>
      </w:r>
    </w:p>
    <w:p>
      <w:pPr>
        <w:pStyle w:val="ListBullet"/>
        <w:spacing w:after="80"/>
      </w:pPr>
      <w:r>
        <w:t>Grid</w:t>
      </w:r>
    </w:p>
    <w:p>
      <w:pPr>
        <w:pStyle w:val="ListBullet"/>
        <w:spacing w:after="80"/>
      </w:pPr>
      <w:r>
        <w:t>Multi-Indicator</w:t>
      </w:r>
    </w:p>
    <w:p>
      <w:pPr>
        <w:pStyle w:val="ListBullet"/>
        <w:spacing w:after="80"/>
      </w:pPr>
      <w:r>
        <w:t>Event-Aware Forex / Macro Strategy</w:t>
      </w:r>
    </w:p>
    <w:p>
      <w:pPr>
        <w:pStyle w:val="Heading2"/>
        <w:keepNext/>
      </w:pPr>
      <w:r>
        <w:t>Explainability standard</w:t>
      </w:r>
    </w:p>
    <w:p>
      <w:pPr>
        <w:pStyle w:val="ListBullet"/>
        <w:spacing w:after="80"/>
      </w:pPr>
      <w:r>
        <w:t>Why this setup?</w:t>
      </w:r>
    </w:p>
    <w:p>
      <w:pPr>
        <w:pStyle w:val="ListBullet"/>
        <w:spacing w:after="80"/>
      </w:pPr>
      <w:r>
        <w:t>What could go wrong?</w:t>
      </w:r>
    </w:p>
    <w:p>
      <w:pPr>
        <w:pStyle w:val="ListBullet"/>
        <w:spacing w:after="80"/>
      </w:pPr>
      <w:r>
        <w:t>What invalidates this setup?</w:t>
      </w:r>
    </w:p>
    <w:p>
      <w:pPr>
        <w:pStyle w:val="ListBullet"/>
        <w:spacing w:after="80"/>
      </w:pPr>
      <w:r>
        <w:t>What changed since the analysis was generated?</w:t>
      </w:r>
    </w:p>
    <w:p>
      <w:pPr>
        <w:pStyle w:val="ListBullet"/>
        <w:spacing w:after="80"/>
      </w:pPr>
      <w:r>
        <w:t>What risk rules apply to this account/user?</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D7A53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NO FALSE CERTAINTY</w:t>
            </w:r>
          </w:p>
          <w:p>
            <w:pPr>
              <w:pStyle w:val="BodyText"/>
              <w:spacing w:after="80"/>
            </w:pPr>
            <w:r>
              <w:t>A confidence score, if used, must be clearly defined as model/setup confidence — never silently presented as a probability of profit.</w:t>
            </w:r>
          </w:p>
        </w:tc>
      </w:tr>
    </w:tbl>
    <w:p>
      <w:pPr>
        <w:spacing w:after="20"/>
      </w:pPr>
    </w:p>
    <w:p>
      <w:pPr>
        <w:pStyle w:val="Heading1"/>
        <w:keepNext/>
      </w:pPr>
      <w:r>
        <w:t>8. Risk, Authority &amp; Permissions</w:t>
      </w:r>
    </w:p>
    <w:p>
      <w:pPr>
        <w:pStyle w:val="Heading2"/>
        <w:keepNext/>
      </w:pPr>
      <w:r>
        <w:t>Decision chain</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6B784"/>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EXECUTION CHAIN</w:t>
            </w:r>
          </w:p>
          <w:p>
            <w:pPr>
              <w:pStyle w:val="BodyText"/>
              <w:spacing w:after="80"/>
            </w:pPr>
            <w:r>
              <w:t>AI suggests → Risk Engine validates → User permission is checked → Execution Engine executes → Monitoring/reconciliation follows.</w:t>
            </w:r>
          </w:p>
        </w:tc>
      </w:tr>
    </w:tbl>
    <w:p>
      <w:pPr>
        <w:spacing w:after="20"/>
      </w:pPr>
    </w:p>
    <w:tbl>
      <w:tblPr>
        <w:tblW w:type="auto" w:w="0"/>
        <w:jc w:val="center"/>
        <w:tblLayout w:type="autofit"/>
        <w:tblLook w:firstColumn="1" w:firstRow="1" w:lastColumn="0" w:lastRow="0" w:noHBand="0" w:noVBand="1" w:val="04A0"/>
      </w:tblPr>
      <w:tblGrid>
        <w:gridCol w:w="3278"/>
        <w:gridCol w:w="3278"/>
        <w:gridCol w:w="3278"/>
      </w:tblGrid>
      <w:tr>
        <w:trPr>
          <w:tblHeader w:val="true"/>
          <w:cantSplit w:val="true"/>
        </w:trPr>
        <w:tc>
          <w:tcPr>
            <w:tcW w:type="dxa" w:w="3278"/>
            <w:shd w:fill="0B1B2D"/>
          </w:tcPr>
          <w:p>
            <w:r>
              <w:rPr>
                <w:b/>
                <w:color w:val="FFFFFF"/>
              </w:rPr>
              <w:t>Action</w:t>
            </w:r>
          </w:p>
        </w:tc>
        <w:tc>
          <w:tcPr>
            <w:tcW w:type="dxa" w:w="3278"/>
            <w:shd w:fill="0B1B2D"/>
          </w:tcPr>
          <w:p>
            <w:r>
              <w:rPr>
                <w:b/>
                <w:color w:val="FFFFFF"/>
              </w:rPr>
              <w:t>AI Authority</w:t>
            </w:r>
          </w:p>
        </w:tc>
        <w:tc>
          <w:tcPr>
            <w:tcW w:type="dxa" w:w="3278"/>
            <w:shd w:fill="0B1B2D"/>
          </w:tcPr>
          <w:p>
            <w:r>
              <w:rPr>
                <w:b/>
                <w:color w:val="FFFFFF"/>
              </w:rPr>
              <w:t>Control</w:t>
            </w:r>
          </w:p>
        </w:tc>
      </w:tr>
      <w:tr>
        <w:trPr>
          <w:cantSplit w:val="true"/>
        </w:trPr>
        <w:tc>
          <w:tcPr>
            <w:tcW w:type="dxa" w:w="3278"/>
            <w:tcBorders>
              <w:bottom w:val="single" w:sz="4" w:color="D8E4EF"/>
            </w:tcBorders>
          </w:tcPr>
          <w:p>
            <w:r>
              <w:t>Analyze markets</w:t>
            </w:r>
          </w:p>
        </w:tc>
        <w:tc>
          <w:tcPr>
            <w:tcW w:type="dxa" w:w="3278"/>
            <w:tcBorders>
              <w:bottom w:val="single" w:sz="4" w:color="D8E4EF"/>
            </w:tcBorders>
          </w:tcPr>
          <w:p>
            <w:r>
              <w:t>Yes</w:t>
            </w:r>
          </w:p>
        </w:tc>
        <w:tc>
          <w:tcPr>
            <w:tcW w:type="dxa" w:w="3278"/>
            <w:tcBorders>
              <w:bottom w:val="single" w:sz="4" w:color="D8E4EF"/>
            </w:tcBorders>
          </w:tcPr>
          <w:p>
            <w:r>
              <w:t>N/A</w:t>
            </w:r>
          </w:p>
        </w:tc>
      </w:tr>
      <w:tr>
        <w:trPr>
          <w:cantSplit w:val="true"/>
        </w:trPr>
        <w:tc>
          <w:tcPr>
            <w:tcW w:type="dxa" w:w="3278"/>
            <w:tcBorders>
              <w:bottom w:val="single" w:sz="4" w:color="D8E4EF"/>
            </w:tcBorders>
          </w:tcPr>
          <w:p>
            <w:r>
              <w:t>Build strategy</w:t>
            </w:r>
          </w:p>
        </w:tc>
        <w:tc>
          <w:tcPr>
            <w:tcW w:type="dxa" w:w="3278"/>
            <w:tcBorders>
              <w:bottom w:val="single" w:sz="4" w:color="D8E4EF"/>
            </w:tcBorders>
          </w:tcPr>
          <w:p>
            <w:r>
              <w:t>Yes</w:t>
            </w:r>
          </w:p>
        </w:tc>
        <w:tc>
          <w:tcPr>
            <w:tcW w:type="dxa" w:w="3278"/>
            <w:tcBorders>
              <w:bottom w:val="single" w:sz="4" w:color="D8E4EF"/>
            </w:tcBorders>
          </w:tcPr>
          <w:p>
            <w:r>
              <w:t>N/A</w:t>
            </w:r>
          </w:p>
        </w:tc>
      </w:tr>
      <w:tr>
        <w:trPr>
          <w:cantSplit w:val="true"/>
        </w:trPr>
        <w:tc>
          <w:tcPr>
            <w:tcW w:type="dxa" w:w="3278"/>
            <w:tcBorders>
              <w:bottom w:val="single" w:sz="4" w:color="D8E4EF"/>
            </w:tcBorders>
          </w:tcPr>
          <w:p>
            <w:r>
              <w:t>Explain/challenge strategy</w:t>
            </w:r>
          </w:p>
        </w:tc>
        <w:tc>
          <w:tcPr>
            <w:tcW w:type="dxa" w:w="3278"/>
            <w:tcBorders>
              <w:bottom w:val="single" w:sz="4" w:color="D8E4EF"/>
            </w:tcBorders>
          </w:tcPr>
          <w:p>
            <w:r>
              <w:t>Yes</w:t>
            </w:r>
          </w:p>
        </w:tc>
        <w:tc>
          <w:tcPr>
            <w:tcW w:type="dxa" w:w="3278"/>
            <w:tcBorders>
              <w:bottom w:val="single" w:sz="4" w:color="D8E4EF"/>
            </w:tcBorders>
          </w:tcPr>
          <w:p>
            <w:r>
              <w:t>N/A</w:t>
            </w:r>
          </w:p>
        </w:tc>
      </w:tr>
      <w:tr>
        <w:trPr>
          <w:cantSplit w:val="true"/>
        </w:trPr>
        <w:tc>
          <w:tcPr>
            <w:tcW w:type="dxa" w:w="3278"/>
            <w:tcBorders>
              <w:bottom w:val="single" w:sz="4" w:color="D8E4EF"/>
            </w:tcBorders>
          </w:tcPr>
          <w:p>
            <w:r>
              <w:t>Open trade</w:t>
            </w:r>
          </w:p>
        </w:tc>
        <w:tc>
          <w:tcPr>
            <w:tcW w:type="dxa" w:w="3278"/>
            <w:tcBorders>
              <w:bottom w:val="single" w:sz="4" w:color="D8E4EF"/>
            </w:tcBorders>
          </w:tcPr>
          <w:p>
            <w:r>
              <w:t>Only if account mode permits</w:t>
            </w:r>
          </w:p>
        </w:tc>
        <w:tc>
          <w:tcPr>
            <w:tcW w:type="dxa" w:w="3278"/>
            <w:tcBorders>
              <w:bottom w:val="single" w:sz="4" w:color="D8E4EF"/>
            </w:tcBorders>
          </w:tcPr>
          <w:p>
            <w:r>
              <w:t>Risk Engine + permissions</w:t>
            </w:r>
          </w:p>
        </w:tc>
      </w:tr>
      <w:tr>
        <w:trPr>
          <w:cantSplit w:val="true"/>
        </w:trPr>
        <w:tc>
          <w:tcPr>
            <w:tcW w:type="dxa" w:w="3278"/>
            <w:tcBorders>
              <w:bottom w:val="single" w:sz="4" w:color="D8E4EF"/>
            </w:tcBorders>
          </w:tcPr>
          <w:p>
            <w:r>
              <w:t>Modify SL/TP</w:t>
            </w:r>
          </w:p>
        </w:tc>
        <w:tc>
          <w:tcPr>
            <w:tcW w:type="dxa" w:w="3278"/>
            <w:tcBorders>
              <w:bottom w:val="single" w:sz="4" w:color="D8E4EF"/>
            </w:tcBorders>
          </w:tcPr>
          <w:p>
            <w:r>
              <w:t>Only within granted permission</w:t>
            </w:r>
          </w:p>
        </w:tc>
        <w:tc>
          <w:tcPr>
            <w:tcW w:type="dxa" w:w="3278"/>
            <w:tcBorders>
              <w:bottom w:val="single" w:sz="4" w:color="D8E4EF"/>
            </w:tcBorders>
          </w:tcPr>
          <w:p>
            <w:r>
              <w:t>Risk Engine + permissions</w:t>
            </w:r>
          </w:p>
        </w:tc>
      </w:tr>
      <w:tr>
        <w:trPr>
          <w:cantSplit w:val="true"/>
        </w:trPr>
        <w:tc>
          <w:tcPr>
            <w:tcW w:type="dxa" w:w="3278"/>
            <w:tcBorders>
              <w:bottom w:val="single" w:sz="4" w:color="D8E4EF"/>
            </w:tcBorders>
          </w:tcPr>
          <w:p>
            <w:r>
              <w:t>Close trade</w:t>
            </w:r>
          </w:p>
        </w:tc>
        <w:tc>
          <w:tcPr>
            <w:tcW w:type="dxa" w:w="3278"/>
            <w:tcBorders>
              <w:bottom w:val="single" w:sz="4" w:color="D8E4EF"/>
            </w:tcBorders>
          </w:tcPr>
          <w:p>
            <w:r>
              <w:t>Only within granted permission</w:t>
            </w:r>
          </w:p>
        </w:tc>
        <w:tc>
          <w:tcPr>
            <w:tcW w:type="dxa" w:w="3278"/>
            <w:tcBorders>
              <w:bottom w:val="single" w:sz="4" w:color="D8E4EF"/>
            </w:tcBorders>
          </w:tcPr>
          <w:p>
            <w:r>
              <w:t>Risk Engine + permissions</w:t>
            </w:r>
          </w:p>
        </w:tc>
      </w:tr>
      <w:tr>
        <w:trPr>
          <w:cantSplit w:val="true"/>
        </w:trPr>
        <w:tc>
          <w:tcPr>
            <w:tcW w:type="dxa" w:w="3278"/>
            <w:tcBorders>
              <w:bottom w:val="single" w:sz="4" w:color="D8E4EF"/>
            </w:tcBorders>
          </w:tcPr>
          <w:p>
            <w:r>
              <w:t>Increase capital allocation</w:t>
            </w:r>
          </w:p>
        </w:tc>
        <w:tc>
          <w:tcPr>
            <w:tcW w:type="dxa" w:w="3278"/>
            <w:tcBorders>
              <w:bottom w:val="single" w:sz="4" w:color="D8E4EF"/>
            </w:tcBorders>
          </w:tcPr>
          <w:p>
            <w:r>
              <w:t>No</w:t>
            </w:r>
          </w:p>
        </w:tc>
        <w:tc>
          <w:tcPr>
            <w:tcW w:type="dxa" w:w="3278"/>
            <w:tcBorders>
              <w:bottom w:val="single" w:sz="4" w:color="D8E4EF"/>
            </w:tcBorders>
          </w:tcPr>
          <w:p>
            <w:r>
              <w:t>User / authorized account control</w:t>
            </w:r>
          </w:p>
        </w:tc>
      </w:tr>
      <w:tr>
        <w:trPr>
          <w:cantSplit w:val="true"/>
        </w:trPr>
        <w:tc>
          <w:tcPr>
            <w:tcW w:type="dxa" w:w="3278"/>
            <w:tcBorders>
              <w:bottom w:val="single" w:sz="4" w:color="D8E4EF"/>
            </w:tcBorders>
          </w:tcPr>
          <w:p>
            <w:r>
              <w:t>Change wallet</w:t>
            </w:r>
          </w:p>
        </w:tc>
        <w:tc>
          <w:tcPr>
            <w:tcW w:type="dxa" w:w="3278"/>
            <w:tcBorders>
              <w:bottom w:val="single" w:sz="4" w:color="D8E4EF"/>
            </w:tcBorders>
          </w:tcPr>
          <w:p>
            <w:r>
              <w:t>No</w:t>
            </w:r>
          </w:p>
        </w:tc>
        <w:tc>
          <w:tcPr>
            <w:tcW w:type="dxa" w:w="3278"/>
            <w:tcBorders>
              <w:bottom w:val="single" w:sz="4" w:color="D8E4EF"/>
            </w:tcBorders>
          </w:tcPr>
          <w:p>
            <w:r>
              <w:t>User security/custody controls</w:t>
            </w:r>
          </w:p>
        </w:tc>
      </w:tr>
      <w:tr>
        <w:trPr>
          <w:cantSplit w:val="true"/>
        </w:trPr>
        <w:tc>
          <w:tcPr>
            <w:tcW w:type="dxa" w:w="3278"/>
            <w:tcBorders>
              <w:bottom w:val="single" w:sz="4" w:color="D8E4EF"/>
            </w:tcBorders>
          </w:tcPr>
          <w:p>
            <w:r>
              <w:t>Withdraw funds</w:t>
            </w:r>
          </w:p>
        </w:tc>
        <w:tc>
          <w:tcPr>
            <w:tcW w:type="dxa" w:w="3278"/>
            <w:tcBorders>
              <w:bottom w:val="single" w:sz="4" w:color="D8E4EF"/>
            </w:tcBorders>
          </w:tcPr>
          <w:p>
            <w:r>
              <w:t>Never</w:t>
            </w:r>
          </w:p>
        </w:tc>
        <w:tc>
          <w:tcPr>
            <w:tcW w:type="dxa" w:w="3278"/>
            <w:tcBorders>
              <w:bottom w:val="single" w:sz="4" w:color="D8E4EF"/>
            </w:tcBorders>
          </w:tcPr>
          <w:p>
            <w:r>
              <w:t>User custody controls only</w:t>
            </w:r>
          </w:p>
        </w:tc>
      </w:tr>
      <w:tr>
        <w:trPr>
          <w:cantSplit w:val="true"/>
        </w:trPr>
        <w:tc>
          <w:tcPr>
            <w:tcW w:type="dxa" w:w="3278"/>
            <w:tcBorders>
              <w:bottom w:val="single" w:sz="4" w:color="D8E4EF"/>
            </w:tcBorders>
          </w:tcPr>
          <w:p>
            <w:r>
              <w:t>Change security settings</w:t>
            </w:r>
          </w:p>
        </w:tc>
        <w:tc>
          <w:tcPr>
            <w:tcW w:type="dxa" w:w="3278"/>
            <w:tcBorders>
              <w:bottom w:val="single" w:sz="4" w:color="D8E4EF"/>
            </w:tcBorders>
          </w:tcPr>
          <w:p>
            <w:r>
              <w:t>No</w:t>
            </w:r>
          </w:p>
        </w:tc>
        <w:tc>
          <w:tcPr>
            <w:tcW w:type="dxa" w:w="3278"/>
            <w:tcBorders>
              <w:bottom w:val="single" w:sz="4" w:color="D8E4EF"/>
            </w:tcBorders>
          </w:tcPr>
          <w:p>
            <w:r>
              <w:t>User security controls</w:t>
            </w:r>
          </w:p>
        </w:tc>
      </w:tr>
      <w:tr>
        <w:trPr>
          <w:cantSplit w:val="true"/>
        </w:trPr>
        <w:tc>
          <w:tcPr>
            <w:tcW w:type="dxa" w:w="3278"/>
            <w:tcBorders>
              <w:bottom w:val="single" w:sz="4" w:color="D8E4EF"/>
            </w:tcBorders>
          </w:tcPr>
          <w:p>
            <w:r>
              <w:t>Override Risk Engine</w:t>
            </w:r>
          </w:p>
        </w:tc>
        <w:tc>
          <w:tcPr>
            <w:tcW w:type="dxa" w:w="3278"/>
            <w:tcBorders>
              <w:bottom w:val="single" w:sz="4" w:color="D8E4EF"/>
            </w:tcBorders>
          </w:tcPr>
          <w:p>
            <w:r>
              <w:t>Never</w:t>
            </w:r>
          </w:p>
        </w:tc>
        <w:tc>
          <w:tcPr>
            <w:tcW w:type="dxa" w:w="3278"/>
            <w:tcBorders>
              <w:bottom w:val="single" w:sz="4" w:color="D8E4EF"/>
            </w:tcBorders>
          </w:tcPr>
          <w:p>
            <w:r>
              <w:t>Not permitted</w:t>
            </w:r>
          </w:p>
        </w:tc>
      </w:tr>
    </w:tbl>
    <w:p/>
    <w:p>
      <w:pPr>
        <w:pStyle w:val="Heading2"/>
        <w:keepNext/>
      </w:pPr>
      <w:r>
        <w:t>Risk profile inputs</w:t>
      </w:r>
    </w:p>
    <w:p>
      <w:pPr>
        <w:pStyle w:val="ListBullet"/>
        <w:spacing w:after="80"/>
      </w:pPr>
      <w:r>
        <w:t>Allocated capital</w:t>
      </w:r>
    </w:p>
    <w:p>
      <w:pPr>
        <w:pStyle w:val="ListBullet"/>
        <w:spacing w:after="80"/>
      </w:pPr>
      <w:r>
        <w:t>Maximum risk per trade</w:t>
      </w:r>
    </w:p>
    <w:p>
      <w:pPr>
        <w:pStyle w:val="ListBullet"/>
        <w:spacing w:after="80"/>
      </w:pPr>
      <w:r>
        <w:t>Maximum daily loss</w:t>
      </w:r>
    </w:p>
    <w:p>
      <w:pPr>
        <w:pStyle w:val="ListBullet"/>
        <w:spacing w:after="80"/>
      </w:pPr>
      <w:r>
        <w:t>Maximum allocation drawdown</w:t>
      </w:r>
    </w:p>
    <w:p>
      <w:pPr>
        <w:pStyle w:val="ListBullet"/>
        <w:spacing w:after="80"/>
      </w:pPr>
      <w:r>
        <w:t>Maximum leverage</w:t>
      </w:r>
    </w:p>
    <w:p>
      <w:pPr>
        <w:pStyle w:val="ListBullet"/>
        <w:spacing w:after="80"/>
      </w:pPr>
      <w:r>
        <w:t>Maximum simultaneous positions</w:t>
      </w:r>
    </w:p>
    <w:p>
      <w:pPr>
        <w:pStyle w:val="ListBullet"/>
        <w:spacing w:after="80"/>
      </w:pPr>
      <w:r>
        <w:t>Allowed instruments</w:t>
      </w:r>
    </w:p>
    <w:p>
      <w:pPr>
        <w:pStyle w:val="ListBullet"/>
        <w:spacing w:after="80"/>
      </w:pPr>
      <w:r>
        <w:t>Restricted instruments</w:t>
      </w:r>
    </w:p>
    <w:p>
      <w:pPr>
        <w:pStyle w:val="ListBullet"/>
        <w:spacing w:after="80"/>
      </w:pPr>
      <w:r>
        <w:t>Trading style/time horizon</w:t>
      </w:r>
    </w:p>
    <w:p>
      <w:pPr>
        <w:pStyle w:val="ListBullet"/>
        <w:spacing w:after="80"/>
      </w:pPr>
      <w:r>
        <w:t>News/event restrictions</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E4545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HARD RULE</w:t>
            </w:r>
          </w:p>
          <w:p>
            <w:pPr>
              <w:pStyle w:val="BodyText"/>
              <w:spacing w:after="80"/>
            </w:pPr>
            <w:r>
              <w:t>AI withdrawal access is permanently disabled by architecture. This is not a UI toggle.</w:t>
            </w:r>
          </w:p>
        </w:tc>
      </w:tr>
    </w:tbl>
    <w:p>
      <w:pPr>
        <w:spacing w:after="20"/>
      </w:pPr>
    </w:p>
    <w:p>
      <w:pPr>
        <w:pStyle w:val="Heading1"/>
        <w:keepNext/>
      </w:pPr>
      <w:r>
        <w:t>9. Copy Trading</w:t>
      </w:r>
    </w:p>
    <w:p>
      <w:pPr>
        <w:pStyle w:val="BodyText"/>
      </w:pPr>
      <w:r>
        <w:rPr>
          <w:i w:val="0"/>
        </w:rPr>
        <w:t>Copy Trading should be built around verified platform data and user-controlled capital rather than promotional screenshots or raw ROI ranking.</w:t>
      </w:r>
    </w:p>
    <w:p>
      <w:pPr>
        <w:pStyle w:val="Heading2"/>
        <w:keepNext/>
      </w:pPr>
      <w:r>
        <w:t>Provider profile should show</w:t>
      </w:r>
    </w:p>
    <w:p>
      <w:pPr>
        <w:pStyle w:val="ListBullet"/>
        <w:spacing w:after="80"/>
      </w:pPr>
      <w:r>
        <w:t>Strategy age and verified live history</w:t>
      </w:r>
    </w:p>
    <w:p>
      <w:pPr>
        <w:pStyle w:val="ListBullet"/>
        <w:spacing w:after="80"/>
      </w:pPr>
      <w:r>
        <w:t>Maximum drawdown</w:t>
      </w:r>
    </w:p>
    <w:p>
      <w:pPr>
        <w:pStyle w:val="ListBullet"/>
        <w:spacing w:after="80"/>
      </w:pPr>
      <w:r>
        <w:t>Average win / average loss</w:t>
      </w:r>
    </w:p>
    <w:p>
      <w:pPr>
        <w:pStyle w:val="ListBullet"/>
        <w:spacing w:after="80"/>
      </w:pPr>
      <w:r>
        <w:t>Average holding time</w:t>
      </w:r>
    </w:p>
    <w:p>
      <w:pPr>
        <w:pStyle w:val="ListBullet"/>
        <w:spacing w:after="80"/>
      </w:pPr>
      <w:r>
        <w:t>Markets/instruments</w:t>
      </w:r>
    </w:p>
    <w:p>
      <w:pPr>
        <w:pStyle w:val="ListBullet"/>
        <w:spacing w:after="80"/>
      </w:pPr>
      <w:r>
        <w:t>Leverage behavior</w:t>
      </w:r>
    </w:p>
    <w:p>
      <w:pPr>
        <w:pStyle w:val="ListBullet"/>
        <w:spacing w:after="80"/>
      </w:pPr>
      <w:r>
        <w:t>Instrument concentration</w:t>
      </w:r>
    </w:p>
    <w:p>
      <w:pPr>
        <w:pStyle w:val="ListBullet"/>
        <w:spacing w:after="80"/>
      </w:pPr>
      <w:r>
        <w:t>Trading frequency</w:t>
      </w:r>
    </w:p>
    <w:p>
      <w:pPr>
        <w:pStyle w:val="ListBullet"/>
        <w:spacing w:after="80"/>
      </w:pPr>
      <w:r>
        <w:t>Manual / Bot / Hybrid classification</w:t>
      </w:r>
    </w:p>
    <w:p>
      <w:pPr>
        <w:pStyle w:val="ListBullet"/>
        <w:spacing w:after="80"/>
      </w:pPr>
      <w:r>
        <w:t>Follower capital where appropriate</w:t>
      </w:r>
    </w:p>
    <w:p>
      <w:pPr>
        <w:pStyle w:val="ListBullet"/>
        <w:spacing w:after="80"/>
      </w:pPr>
      <w:r>
        <w:t>Recent strategy drift / behavior change</w:t>
      </w:r>
    </w:p>
    <w:p>
      <w:pPr>
        <w:pStyle w:val="Heading2"/>
        <w:keepNext/>
      </w:pPr>
      <w:r>
        <w:t>Follower controls</w:t>
      </w:r>
    </w:p>
    <w:p>
      <w:pPr>
        <w:pStyle w:val="ListBullet"/>
        <w:spacing w:after="80"/>
      </w:pPr>
      <w:r>
        <w:t>Dedicated copy allocation</w:t>
      </w:r>
    </w:p>
    <w:p>
      <w:pPr>
        <w:pStyle w:val="ListBullet"/>
        <w:spacing w:after="80"/>
      </w:pPr>
      <w:r>
        <w:t>Risk multiplier</w:t>
      </w:r>
    </w:p>
    <w:p>
      <w:pPr>
        <w:pStyle w:val="ListBullet"/>
        <w:spacing w:after="80"/>
      </w:pPr>
      <w:r>
        <w:t>Maximum position size</w:t>
      </w:r>
    </w:p>
    <w:p>
      <w:pPr>
        <w:pStyle w:val="ListBullet"/>
        <w:spacing w:after="80"/>
      </w:pPr>
      <w:r>
        <w:t>Maximum daily loss</w:t>
      </w:r>
    </w:p>
    <w:p>
      <w:pPr>
        <w:pStyle w:val="ListBullet"/>
        <w:spacing w:after="80"/>
      </w:pPr>
      <w:r>
        <w:t>Maximum allocation drawdown</w:t>
      </w:r>
    </w:p>
    <w:p>
      <w:pPr>
        <w:pStyle w:val="ListBullet"/>
        <w:spacing w:after="80"/>
      </w:pPr>
      <w:r>
        <w:t>Maximum leverage</w:t>
      </w:r>
    </w:p>
    <w:p>
      <w:pPr>
        <w:pStyle w:val="ListBullet"/>
        <w:spacing w:after="80"/>
      </w:pPr>
      <w:r>
        <w:t>Stop-copy conditions</w:t>
      </w:r>
    </w:p>
    <w:p>
      <w:pPr>
        <w:pStyle w:val="ListBullet"/>
        <w:spacing w:after="80"/>
      </w:pPr>
      <w:r>
        <w:t>Pause / exit controls</w:t>
      </w:r>
    </w:p>
    <w:p>
      <w:pPr>
        <w:pStyle w:val="Heading2"/>
        <w:keepNext/>
      </w:pPr>
      <w:r>
        <w:t>ELVA Intelligence integration</w:t>
      </w:r>
    </w:p>
    <w:p>
      <w:pPr>
        <w:pStyle w:val="BodyText"/>
      </w:pPr>
      <w:r>
        <w:rPr>
          <w:i w:val="0"/>
        </w:rPr>
        <w:t>Users should be able to ask ELVA to analyze a strategy provider. The AI should describe historical characteristics, concentration, drawdown and behavioral risks — not issue simplistic “good trader / bad trader” verdicts.</w:t>
      </w:r>
    </w:p>
    <w:p>
      <w:pPr>
        <w:pStyle w:val="Heading1"/>
        <w:keepNext/>
      </w:pPr>
      <w:r>
        <w:t>10. Bot &amp; Algo Trading</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8D7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BOT RULE</w:t>
            </w:r>
          </w:p>
          <w:p>
            <w:pPr>
              <w:pStyle w:val="BodyText"/>
              <w:spacing w:after="80"/>
            </w:pPr>
            <w:r>
              <w:t>A bot can trade. A bot can never withdraw.</w:t>
            </w:r>
          </w:p>
        </w:tc>
      </w:tr>
    </w:tbl>
    <w:p>
      <w:pPr>
        <w:spacing w:after="20"/>
      </w:pPr>
    </w:p>
    <w:p>
      <w:pPr>
        <w:pStyle w:val="ListBullet"/>
        <w:spacing w:after="80"/>
      </w:pPr>
      <w:r>
        <w:rPr>
          <w:b/>
        </w:rPr>
        <w:t xml:space="preserve">Bring Your Own Bot / EA: </w:t>
      </w:r>
      <w:r>
        <w:t>support approved MT5 EAs or API-based automation where technically permitted.</w:t>
      </w:r>
    </w:p>
    <w:p>
      <w:pPr>
        <w:pStyle w:val="ListBullet"/>
        <w:spacing w:after="80"/>
      </w:pPr>
      <w:r>
        <w:rPr>
          <w:b/>
        </w:rPr>
        <w:t xml:space="preserve">Bot Marketplace — later: </w:t>
      </w:r>
      <w:r>
        <w:t>verified bots can be distributed under platform controls.</w:t>
      </w:r>
    </w:p>
    <w:p>
      <w:pPr>
        <w:pStyle w:val="ListBullet"/>
        <w:spacing w:after="80"/>
      </w:pPr>
      <w:r>
        <w:rPr>
          <w:b/>
        </w:rPr>
        <w:t xml:space="preserve">Permission panel: </w:t>
      </w:r>
      <w:r>
        <w:t>allowed markets, allocated capital, max daily loss, max position size, max positions, max leverage.</w:t>
      </w:r>
    </w:p>
    <w:p>
      <w:pPr>
        <w:pStyle w:val="ListBullet"/>
        <w:spacing w:after="80"/>
      </w:pPr>
      <w:r>
        <w:rPr>
          <w:b/>
        </w:rPr>
        <w:t xml:space="preserve">Emergency Kill Switch: </w:t>
      </w:r>
      <w:r>
        <w:t>user and platform controls must be able to stop automation quickly.</w:t>
      </w:r>
    </w:p>
    <w:p>
      <w:pPr>
        <w:pStyle w:val="ListBullet"/>
        <w:spacing w:after="80"/>
      </w:pPr>
      <w:r>
        <w:rPr>
          <w:b/>
        </w:rPr>
        <w:t xml:space="preserve">Performance labels: </w:t>
      </w:r>
      <w:r>
        <w:t>Backtest, Demo and Live performance must never be conflated.</w:t>
      </w:r>
    </w:p>
    <w:p>
      <w:pPr>
        <w:pStyle w:val="Heading2"/>
        <w:keepNext/>
      </w:pPr>
      <w:r>
        <w:t>AI Bot Inspector</w:t>
      </w:r>
    </w:p>
    <w:p>
      <w:pPr>
        <w:pStyle w:val="BodyText"/>
      </w:pPr>
      <w:r>
        <w:rPr>
          <w:i w:val="0"/>
        </w:rPr>
        <w:t>ELVA Intelligence should help users understand a bot’s behavior, drawdowns, parameter sensitivity, market-regime failures and recent underperformance. It should never claim future returns are guaranteed.</w:t>
      </w:r>
    </w:p>
    <w:p>
      <w:pPr>
        <w:pStyle w:val="Heading1"/>
        <w:keepNext/>
      </w:pPr>
      <w:r>
        <w:t>11. Transparent Capital Layer</w:t>
      </w:r>
    </w:p>
    <w:p>
      <w:pPr>
        <w:pStyle w:val="BodyText"/>
      </w:pPr>
      <w:r>
        <w:rPr>
          <w:i w:val="0"/>
        </w:rPr>
        <w:t>The Transparent Capital Layer is one of ELVA’s strongest user-facing differentiators. It should answer “Where is my capital right now?” in plain language.</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Illustrative View</w:t>
            </w:r>
          </w:p>
        </w:tc>
        <w:tc>
          <w:tcPr>
            <w:tcW w:type="dxa" w:w="4917"/>
            <w:shd w:fill="0B1B2D"/>
            <w:vAlign w:val="center"/>
          </w:tcPr>
          <w:p>
            <w:r>
              <w:rPr>
                <w:b/>
                <w:color w:val="FFFFFF"/>
              </w:rPr>
              <w:t>Example Only</w:t>
            </w:r>
          </w:p>
        </w:tc>
      </w:tr>
      <w:tr>
        <w:trPr>
          <w:cantSplit w:val="true"/>
        </w:trPr>
        <w:tc>
          <w:tcPr>
            <w:tcW w:type="dxa" w:w="2880"/>
            <w:vAlign w:val="top"/>
            <w:tcBorders>
              <w:bottom w:val="single" w:sz="4" w:color="D8E4EF"/>
            </w:tcBorders>
          </w:tcPr>
          <w:p>
            <w:r>
              <w:t>Total Capital</w:t>
            </w:r>
          </w:p>
        </w:tc>
        <w:tc>
          <w:tcPr>
            <w:tcW w:type="dxa" w:w="6768"/>
            <w:vAlign w:val="top"/>
            <w:tcBorders>
              <w:bottom w:val="single" w:sz="4" w:color="D8E4EF"/>
            </w:tcBorders>
          </w:tcPr>
          <w:p>
            <w:r>
              <w:t>$25,000</w:t>
            </w:r>
          </w:p>
        </w:tc>
      </w:tr>
      <w:tr>
        <w:trPr>
          <w:cantSplit w:val="true"/>
        </w:trPr>
        <w:tc>
          <w:tcPr>
            <w:tcW w:type="dxa" w:w="2880"/>
            <w:vAlign w:val="top"/>
            <w:tcBorders>
              <w:bottom w:val="single" w:sz="4" w:color="D8E4EF"/>
            </w:tcBorders>
          </w:tcPr>
          <w:p>
            <w:r>
              <w:t>Manual Trading</w:t>
            </w:r>
          </w:p>
        </w:tc>
        <w:tc>
          <w:tcPr>
            <w:tcW w:type="dxa" w:w="6768"/>
            <w:vAlign w:val="top"/>
            <w:tcBorders>
              <w:bottom w:val="single" w:sz="4" w:color="D8E4EF"/>
            </w:tcBorders>
          </w:tcPr>
          <w:p>
            <w:r>
              <w:t>$10,000</w:t>
            </w:r>
          </w:p>
        </w:tc>
      </w:tr>
      <w:tr>
        <w:trPr>
          <w:cantSplit w:val="true"/>
        </w:trPr>
        <w:tc>
          <w:tcPr>
            <w:tcW w:type="dxa" w:w="2880"/>
            <w:vAlign w:val="top"/>
            <w:tcBorders>
              <w:bottom w:val="single" w:sz="4" w:color="D8E4EF"/>
            </w:tcBorders>
          </w:tcPr>
          <w:p>
            <w:r>
              <w:t>Copy Trading</w:t>
            </w:r>
          </w:p>
        </w:tc>
        <w:tc>
          <w:tcPr>
            <w:tcW w:type="dxa" w:w="6768"/>
            <w:vAlign w:val="top"/>
            <w:tcBorders>
              <w:bottom w:val="single" w:sz="4" w:color="D8E4EF"/>
            </w:tcBorders>
          </w:tcPr>
          <w:p>
            <w:r>
              <w:t>$5,000</w:t>
            </w:r>
          </w:p>
        </w:tc>
      </w:tr>
      <w:tr>
        <w:trPr>
          <w:cantSplit w:val="true"/>
        </w:trPr>
        <w:tc>
          <w:tcPr>
            <w:tcW w:type="dxa" w:w="2880"/>
            <w:vAlign w:val="top"/>
            <w:tcBorders>
              <w:bottom w:val="single" w:sz="4" w:color="D8E4EF"/>
            </w:tcBorders>
          </w:tcPr>
          <w:p>
            <w:r>
              <w:t>Bot Trading</w:t>
            </w:r>
          </w:p>
        </w:tc>
        <w:tc>
          <w:tcPr>
            <w:tcW w:type="dxa" w:w="6768"/>
            <w:vAlign w:val="top"/>
            <w:tcBorders>
              <w:bottom w:val="single" w:sz="4" w:color="D8E4EF"/>
            </w:tcBorders>
          </w:tcPr>
          <w:p>
            <w:r>
              <w:t>$3,000</w:t>
            </w:r>
          </w:p>
        </w:tc>
      </w:tr>
      <w:tr>
        <w:trPr>
          <w:cantSplit w:val="true"/>
        </w:trPr>
        <w:tc>
          <w:tcPr>
            <w:tcW w:type="dxa" w:w="2880"/>
            <w:vAlign w:val="top"/>
            <w:tcBorders>
              <w:bottom w:val="single" w:sz="4" w:color="D8E4EF"/>
            </w:tcBorders>
          </w:tcPr>
          <w:p>
            <w:r>
              <w:t>AI Trading</w:t>
            </w:r>
          </w:p>
        </w:tc>
        <w:tc>
          <w:tcPr>
            <w:tcW w:type="dxa" w:w="6768"/>
            <w:vAlign w:val="top"/>
            <w:tcBorders>
              <w:bottom w:val="single" w:sz="4" w:color="D8E4EF"/>
            </w:tcBorders>
          </w:tcPr>
          <w:p>
            <w:r>
              <w:t>$2,000</w:t>
            </w:r>
          </w:p>
        </w:tc>
      </w:tr>
      <w:tr>
        <w:trPr>
          <w:cantSplit w:val="true"/>
        </w:trPr>
        <w:tc>
          <w:tcPr>
            <w:tcW w:type="dxa" w:w="2880"/>
            <w:vAlign w:val="top"/>
            <w:tcBorders>
              <w:bottom w:val="single" w:sz="4" w:color="D8E4EF"/>
            </w:tcBorders>
          </w:tcPr>
          <w:p>
            <w:r>
              <w:t>Unallocated</w:t>
            </w:r>
          </w:p>
        </w:tc>
        <w:tc>
          <w:tcPr>
            <w:tcW w:type="dxa" w:w="6768"/>
            <w:vAlign w:val="top"/>
            <w:tcBorders>
              <w:bottom w:val="single" w:sz="4" w:color="D8E4EF"/>
            </w:tcBorders>
          </w:tcPr>
          <w:p>
            <w:r>
              <w:t>$5,000</w:t>
            </w:r>
          </w:p>
        </w:tc>
      </w:tr>
    </w:tbl>
    <w:p/>
    <w:p>
      <w:pPr>
        <w:pStyle w:val="BodyText"/>
      </w:pPr>
      <w:r>
        <w:rPr>
          <w:i w:val="0"/>
        </w:rPr>
        <w:t>Any numbers displayed in prototypes or marketing must be clearly labeled as demo/illustrative unless they come from real user or platform data.</w:t>
      </w:r>
    </w:p>
    <w:p>
      <w:pPr>
        <w:pStyle w:val="Heading2"/>
        <w:keepNext/>
      </w:pPr>
      <w:r>
        <w:t>Capital lifecycle language</w:t>
      </w:r>
    </w:p>
    <w:p>
      <w:pPr>
        <w:pStyle w:val="BodyText"/>
      </w:pPr>
      <w:r>
        <w:rPr>
          <w:i w:val="0"/>
        </w:rPr>
        <w:t>Allocate → Reserve → Trade → Reconcile → Release</w:t>
      </w:r>
    </w:p>
    <w:p>
      <w:pPr>
        <w:pStyle w:val="Heading1"/>
        <w:keepNext/>
      </w:pPr>
      <w:r>
        <w:t>12. Liquidity &amp; Execution</w:t>
      </w:r>
    </w:p>
    <w:p>
      <w:pPr>
        <w:pStyle w:val="BodyText"/>
      </w:pPr>
      <w:r>
        <w:rPr>
          <w:i w:val="0"/>
        </w:rPr>
        <w:t>Liquidity design must separate execution liquidity, broker risk capital and settlement capital. These are different functions and must not be presented as one generic “liquidity pool”.</w:t>
      </w:r>
    </w:p>
    <w:p>
      <w:pPr>
        <w:pStyle w:val="Heading2"/>
        <w:keepNext/>
      </w:pPr>
      <w:r>
        <w:t>Future ELVA Liquidity OS</w:t>
      </w:r>
    </w:p>
    <w:p>
      <w:pPr>
        <w:pStyle w:val="ListBullet"/>
        <w:spacing w:after="80"/>
      </w:pPr>
      <w:r>
        <w:t>Multi-LP price feeds</w:t>
      </w:r>
    </w:p>
    <w:p>
      <w:pPr>
        <w:pStyle w:val="ListBullet"/>
        <w:spacing w:after="80"/>
      </w:pPr>
      <w:r>
        <w:t>Aggregation</w:t>
      </w:r>
    </w:p>
    <w:p>
      <w:pPr>
        <w:pStyle w:val="ListBullet"/>
        <w:spacing w:after="80"/>
      </w:pPr>
      <w:r>
        <w:t>Smart routing</w:t>
      </w:r>
    </w:p>
    <w:p>
      <w:pPr>
        <w:pStyle w:val="ListBullet"/>
        <w:spacing w:after="80"/>
      </w:pPr>
      <w:r>
        <w:t>A-book / B-book / hybrid exposure handling where appropriate</w:t>
      </w:r>
    </w:p>
    <w:p>
      <w:pPr>
        <w:pStyle w:val="ListBullet"/>
        <w:spacing w:after="80"/>
      </w:pPr>
      <w:r>
        <w:t>Exposure and hedging management</w:t>
      </w:r>
    </w:p>
    <w:p>
      <w:pPr>
        <w:pStyle w:val="ListBullet"/>
        <w:spacing w:after="80"/>
      </w:pPr>
      <w:r>
        <w:t>LP scoring: spread, slippage, fill ratio, latency, rejection rate, depth, total capital/settlement cost</w:t>
      </w:r>
    </w:p>
    <w:p>
      <w:pPr>
        <w:pStyle w:val="ListBullet"/>
        <w:spacing w:after="80"/>
      </w:pPr>
      <w:r>
        <w:t>Execution quality analytics</w:t>
      </w:r>
    </w:p>
    <w:p>
      <w:pPr>
        <w:pStyle w:val="ListBullet"/>
        <w:spacing w:after="80"/>
      </w:pPr>
      <w:r>
        <w:t>Institutional API layer</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D7A53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DAO / COMMUNITY CAPITAL</w:t>
            </w:r>
          </w:p>
          <w:p>
            <w:pPr>
              <w:pStyle w:val="BodyText"/>
              <w:spacing w:after="80"/>
            </w:pPr>
            <w:r>
              <w:t>Do not allow decentralized governance to control individual client trades, margin calls, withdrawals or real-time LP routing. If a community/DAO settlement reserve is explored later, it must be a separately designed and controlled capital layer.</w:t>
            </w:r>
          </w:p>
        </w:tc>
      </w:tr>
    </w:tbl>
    <w:p>
      <w:pPr>
        <w:spacing w:after="20"/>
      </w:pPr>
    </w:p>
    <w:p>
      <w:pPr>
        <w:pStyle w:val="Heading1"/>
        <w:keepNext/>
      </w:pPr>
      <w:r>
        <w:t>13. Ledger, Data &amp; Reconciliation</w:t>
      </w:r>
    </w:p>
    <w:p>
      <w:pPr>
        <w:pStyle w:val="Heading2"/>
        <w:keepNext/>
      </w:pPr>
      <w:r>
        <w:t>Three records must coexist</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System</w:t>
            </w:r>
          </w:p>
        </w:tc>
        <w:tc>
          <w:tcPr>
            <w:tcW w:type="dxa" w:w="4917"/>
            <w:shd w:fill="0B1B2D"/>
            <w:vAlign w:val="center"/>
          </w:tcPr>
          <w:p>
            <w:r>
              <w:rPr>
                <w:b/>
                <w:color w:val="FFFFFF"/>
              </w:rPr>
              <w:t>Authority</w:t>
            </w:r>
          </w:p>
        </w:tc>
      </w:tr>
      <w:tr>
        <w:trPr>
          <w:cantSplit w:val="true"/>
        </w:trPr>
        <w:tc>
          <w:tcPr>
            <w:tcW w:type="dxa" w:w="2880"/>
            <w:vAlign w:val="top"/>
            <w:tcBorders>
              <w:bottom w:val="single" w:sz="4" w:color="D8E4EF"/>
            </w:tcBorders>
          </w:tcPr>
          <w:p>
            <w:r>
              <w:t>Blockchain</w:t>
            </w:r>
          </w:p>
        </w:tc>
        <w:tc>
          <w:tcPr>
            <w:tcW w:type="dxa" w:w="6768"/>
            <w:vAlign w:val="top"/>
            <w:tcBorders>
              <w:bottom w:val="single" w:sz="4" w:color="D8E4EF"/>
            </w:tcBorders>
          </w:tcPr>
          <w:p>
            <w:r>
              <w:t>Authoritative record of supported on-chain asset transfers.</w:t>
            </w:r>
          </w:p>
        </w:tc>
      </w:tr>
      <w:tr>
        <w:trPr>
          <w:cantSplit w:val="true"/>
        </w:trPr>
        <w:tc>
          <w:tcPr>
            <w:tcW w:type="dxa" w:w="2880"/>
            <w:vAlign w:val="top"/>
            <w:tcBorders>
              <w:bottom w:val="single" w:sz="4" w:color="D8E4EF"/>
            </w:tcBorders>
          </w:tcPr>
          <w:p>
            <w:r>
              <w:t>MT5 / Execution Venue</w:t>
            </w:r>
          </w:p>
        </w:tc>
        <w:tc>
          <w:tcPr>
            <w:tcW w:type="dxa" w:w="6768"/>
            <w:vAlign w:val="top"/>
            <w:tcBorders>
              <w:bottom w:val="single" w:sz="4" w:color="D8E4EF"/>
            </w:tcBorders>
          </w:tcPr>
          <w:p>
            <w:r>
              <w:t>Authoritative execution record for orders, fills and positions executed there.</w:t>
            </w:r>
          </w:p>
        </w:tc>
      </w:tr>
      <w:tr>
        <w:trPr>
          <w:cantSplit w:val="true"/>
        </w:trPr>
        <w:tc>
          <w:tcPr>
            <w:tcW w:type="dxa" w:w="2880"/>
            <w:vAlign w:val="top"/>
            <w:tcBorders>
              <w:bottom w:val="single" w:sz="4" w:color="D8E4EF"/>
            </w:tcBorders>
          </w:tcPr>
          <w:p>
            <w:r>
              <w:t>Internal Double-Entry Ledger</w:t>
            </w:r>
          </w:p>
        </w:tc>
        <w:tc>
          <w:tcPr>
            <w:tcW w:type="dxa" w:w="6768"/>
            <w:vAlign w:val="top"/>
            <w:tcBorders>
              <w:bottom w:val="single" w:sz="4" w:color="D8E4EF"/>
            </w:tcBorders>
          </w:tcPr>
          <w:p>
            <w:r>
              <w:t>Consolidated accounting source-of-truth for broker financial obligations and user balances.</w:t>
            </w:r>
          </w:p>
        </w:tc>
      </w:tr>
    </w:tbl>
    <w:p/>
    <w:p>
      <w:pPr>
        <w:pStyle w:val="BodyText"/>
      </w:pPr>
      <w:r>
        <w:rPr>
          <w:i w:val="0"/>
        </w:rPr>
        <w:t>These systems must reconcile continuously. Hash anchoring or cryptographic receipts can prove that a record has not changed, but they do not by themselves prove fair execution. Any execution-quality claim must be backed by appropriate quote, venue, timestamp and order/fill data.</w:t>
      </w:r>
    </w:p>
    <w:p>
      <w:pPr>
        <w:pStyle w:val="Heading2"/>
        <w:keepNext/>
      </w:pPr>
      <w:r>
        <w:t>Core data domains</w:t>
      </w:r>
    </w:p>
    <w:p>
      <w:pPr>
        <w:pStyle w:val="ListBullet"/>
        <w:spacing w:after="80"/>
      </w:pPr>
      <w:r>
        <w:t>Users &amp; accounts</w:t>
      </w:r>
    </w:p>
    <w:p>
      <w:pPr>
        <w:pStyle w:val="ListBullet"/>
        <w:spacing w:after="80"/>
      </w:pPr>
      <w:r>
        <w:t>Wallets &amp; blockchain transactions</w:t>
      </w:r>
    </w:p>
    <w:p>
      <w:pPr>
        <w:pStyle w:val="ListBullet"/>
        <w:spacing w:after="80"/>
      </w:pPr>
      <w:r>
        <w:t>Ledger entries</w:t>
      </w:r>
    </w:p>
    <w:p>
      <w:pPr>
        <w:pStyle w:val="ListBullet"/>
        <w:spacing w:after="80"/>
      </w:pPr>
      <w:r>
        <w:t>Trading accounts</w:t>
      </w:r>
    </w:p>
    <w:p>
      <w:pPr>
        <w:pStyle w:val="ListBullet"/>
        <w:spacing w:after="80"/>
      </w:pPr>
      <w:r>
        <w:t>Orders / fills / positions</w:t>
      </w:r>
    </w:p>
    <w:p>
      <w:pPr>
        <w:pStyle w:val="ListBullet"/>
        <w:spacing w:after="80"/>
      </w:pPr>
      <w:r>
        <w:t>Margin &amp; P&amp;L</w:t>
      </w:r>
    </w:p>
    <w:p>
      <w:pPr>
        <w:pStyle w:val="ListBullet"/>
        <w:spacing w:after="80"/>
      </w:pPr>
      <w:r>
        <w:t>Capital allocations</w:t>
      </w:r>
    </w:p>
    <w:p>
      <w:pPr>
        <w:pStyle w:val="ListBullet"/>
        <w:spacing w:after="80"/>
      </w:pPr>
      <w:r>
        <w:t>Risk rules</w:t>
      </w:r>
    </w:p>
    <w:p>
      <w:pPr>
        <w:pStyle w:val="ListBullet"/>
        <w:spacing w:after="80"/>
      </w:pPr>
      <w:r>
        <w:t>Copy relationships</w:t>
      </w:r>
    </w:p>
    <w:p>
      <w:pPr>
        <w:pStyle w:val="ListBullet"/>
        <w:spacing w:after="80"/>
      </w:pPr>
      <w:r>
        <w:t>Bots / permissions</w:t>
      </w:r>
    </w:p>
    <w:p>
      <w:pPr>
        <w:pStyle w:val="ListBullet"/>
        <w:spacing w:after="80"/>
      </w:pPr>
      <w:r>
        <w:t>AI sessions / recommendations / approvals</w:t>
      </w:r>
    </w:p>
    <w:p>
      <w:pPr>
        <w:pStyle w:val="ListBullet"/>
        <w:spacing w:after="80"/>
      </w:pPr>
      <w:r>
        <w:t>Settlement &amp; reconciliation</w:t>
      </w:r>
    </w:p>
    <w:p>
      <w:pPr>
        <w:pStyle w:val="ListBullet"/>
        <w:spacing w:after="80"/>
      </w:pPr>
      <w:r>
        <w:t>Audit logs</w:t>
      </w:r>
    </w:p>
    <w:p>
      <w:pPr>
        <w:pStyle w:val="Heading1"/>
        <w:keepNext/>
      </w:pPr>
      <w:r>
        <w:t>14. UX, Brand &amp; Gen-Z Design Direction</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98C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DESIGN PHILOSOPHY</w:t>
            </w:r>
          </w:p>
          <w:p>
            <w:pPr>
              <w:pStyle w:val="BodyText"/>
              <w:spacing w:after="80"/>
            </w:pPr>
            <w:r>
              <w:t>Institutional Trust × Gen-Z Simplicity × AI-Native Interaction</w:t>
            </w:r>
          </w:p>
        </w:tc>
      </w:tr>
    </w:tbl>
    <w:p>
      <w:pPr>
        <w:spacing w:after="20"/>
      </w:pPr>
    </w:p>
    <w:p>
      <w:pPr>
        <w:pStyle w:val="Heading2"/>
        <w:keepNext/>
      </w:pPr>
      <w:r>
        <w:t>Visual language</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Design Area</w:t>
            </w:r>
          </w:p>
        </w:tc>
        <w:tc>
          <w:tcPr>
            <w:tcW w:type="dxa" w:w="4917"/>
            <w:shd w:fill="0B1B2D"/>
            <w:vAlign w:val="center"/>
          </w:tcPr>
          <w:p>
            <w:r>
              <w:rPr>
                <w:b/>
                <w:color w:val="FFFFFF"/>
              </w:rPr>
              <w:t>Rule</w:t>
            </w:r>
          </w:p>
        </w:tc>
      </w:tr>
      <w:tr>
        <w:trPr>
          <w:cantSplit w:val="true"/>
        </w:trPr>
        <w:tc>
          <w:tcPr>
            <w:tcW w:type="dxa" w:w="2880"/>
            <w:vAlign w:val="top"/>
            <w:tcBorders>
              <w:bottom w:val="single" w:sz="4" w:color="D8E4EF"/>
            </w:tcBorders>
          </w:tcPr>
          <w:p>
            <w:r>
              <w:t>Use</w:t>
            </w:r>
          </w:p>
        </w:tc>
        <w:tc>
          <w:tcPr>
            <w:tcW w:type="dxa" w:w="6768"/>
            <w:vAlign w:val="top"/>
            <w:tcBorders>
              <w:bottom w:val="single" w:sz="4" w:color="D8E4EF"/>
            </w:tcBorders>
          </w:tcPr>
          <w:p>
            <w:r>
              <w:t>Deep black/navy, electric blue/cyan, cool silver/white, restrained glow, premium glass surfaces, crisp data visualization, generous spacing.</w:t>
            </w:r>
          </w:p>
        </w:tc>
      </w:tr>
      <w:tr>
        <w:trPr>
          <w:cantSplit w:val="true"/>
        </w:trPr>
        <w:tc>
          <w:tcPr>
            <w:tcW w:type="dxa" w:w="2880"/>
            <w:vAlign w:val="top"/>
            <w:tcBorders>
              <w:bottom w:val="single" w:sz="4" w:color="D8E4EF"/>
            </w:tcBorders>
          </w:tcPr>
          <w:p>
            <w:r>
              <w:t>Avoid</w:t>
            </w:r>
          </w:p>
        </w:tc>
        <w:tc>
          <w:tcPr>
            <w:tcW w:type="dxa" w:w="6768"/>
            <w:vAlign w:val="top"/>
            <w:tcBorders>
              <w:bottom w:val="single" w:sz="4" w:color="D8E4EF"/>
            </w:tcBorders>
          </w:tcPr>
          <w:p>
            <w:r>
              <w:t>Casino styling, meme-coin visuals, rockets, excessive neon, flashing profit numbers, confetti, fake countdowns, “100x” marketing, fake urgency.</w:t>
            </w:r>
          </w:p>
        </w:tc>
      </w:tr>
      <w:tr>
        <w:trPr>
          <w:cantSplit w:val="true"/>
        </w:trPr>
        <w:tc>
          <w:tcPr>
            <w:tcW w:type="dxa" w:w="2880"/>
            <w:vAlign w:val="top"/>
            <w:tcBorders>
              <w:bottom w:val="single" w:sz="4" w:color="D8E4EF"/>
            </w:tcBorders>
          </w:tcPr>
          <w:p>
            <w:r>
              <w:t>Tone</w:t>
            </w:r>
          </w:p>
        </w:tc>
        <w:tc>
          <w:tcPr>
            <w:tcW w:type="dxa" w:w="6768"/>
            <w:vAlign w:val="top"/>
            <w:tcBorders>
              <w:bottom w:val="single" w:sz="4" w:color="D8E4EF"/>
            </w:tcBorders>
          </w:tcPr>
          <w:p>
            <w:r>
              <w:t>Premium, modern, calm, trustworthy, fast, intelligent.</w:t>
            </w:r>
          </w:p>
        </w:tc>
      </w:tr>
      <w:tr>
        <w:trPr>
          <w:cantSplit w:val="true"/>
        </w:trPr>
        <w:tc>
          <w:tcPr>
            <w:tcW w:type="dxa" w:w="2880"/>
            <w:vAlign w:val="top"/>
            <w:tcBorders>
              <w:bottom w:val="single" w:sz="4" w:color="D8E4EF"/>
            </w:tcBorders>
          </w:tcPr>
          <w:p>
            <w:r>
              <w:t>Interaction</w:t>
            </w:r>
          </w:p>
        </w:tc>
        <w:tc>
          <w:tcPr>
            <w:tcW w:type="dxa" w:w="6768"/>
            <w:vAlign w:val="top"/>
            <w:tcBorders>
              <w:bottom w:val="single" w:sz="4" w:color="D8E4EF"/>
            </w:tcBorders>
          </w:tcPr>
          <w:p>
            <w:r>
              <w:t>Conversational AI, short copy, simple cards, visible risk states, clear permissions, live monitoring.</w:t>
            </w:r>
          </w:p>
        </w:tc>
      </w:tr>
    </w:tbl>
    <w:p/>
    <w:p>
      <w:pPr>
        <w:pStyle w:val="Heading2"/>
        <w:keepNext/>
      </w:pPr>
      <w:r>
        <w:t>Gen-Z without losing trust</w:t>
      </w:r>
    </w:p>
    <w:p>
      <w:pPr>
        <w:pStyle w:val="BodyText"/>
      </w:pPr>
      <w:r>
        <w:rPr>
          <w:i w:val="0"/>
        </w:rPr>
        <w:t>Gen-Z influence should appear in speed, simplicity, conversational interactions, visual feedback and personalization — not in gambling mechanics. The platform should still look credible to professional traders and institutional partners.</w:t>
      </w:r>
    </w:p>
    <w:p>
      <w:pPr>
        <w:pStyle w:val="Heading2"/>
        <w:keepNext/>
      </w:pPr>
      <w:r>
        <w:t>Landing-page storytelling</w:t>
      </w:r>
    </w:p>
    <w:p>
      <w:pPr>
        <w:pStyle w:val="BodyText"/>
        <w:spacing w:after="60"/>
        <w:ind w:left="29" w:hanging="29"/>
      </w:pPr>
      <w:r>
        <w:rPr>
          <w:b/>
        </w:rPr>
        <w:t xml:space="preserve">1.   </w:t>
      </w:r>
      <w:r>
        <w:t>Hero — ELVA positioning + interactive AI Copilot visual.</w:t>
      </w:r>
    </w:p>
    <w:p>
      <w:pPr>
        <w:pStyle w:val="BodyText"/>
        <w:spacing w:after="60"/>
        <w:ind w:left="29" w:hanging="29"/>
      </w:pPr>
      <w:r>
        <w:rPr>
          <w:b/>
        </w:rPr>
        <w:t xml:space="preserve">2.   </w:t>
      </w:r>
      <w:r>
        <w:t>Markets / core platform value.</w:t>
      </w:r>
    </w:p>
    <w:p>
      <w:pPr>
        <w:pStyle w:val="BodyText"/>
        <w:spacing w:after="60"/>
        <w:ind w:left="29" w:hanging="29"/>
      </w:pPr>
      <w:r>
        <w:rPr>
          <w:b/>
        </w:rPr>
        <w:t xml:space="preserve">3.   </w:t>
      </w:r>
      <w:r>
        <w:t>Manual + Copy + Bot + AI trading modes.</w:t>
      </w:r>
    </w:p>
    <w:p>
      <w:pPr>
        <w:pStyle w:val="BodyText"/>
        <w:spacing w:after="60"/>
        <w:ind w:left="29" w:hanging="29"/>
      </w:pPr>
      <w:r>
        <w:rPr>
          <w:b/>
        </w:rPr>
        <w:t xml:space="preserve">4.   </w:t>
      </w:r>
      <w:r>
        <w:t>ELVA Intelligence capabilities.</w:t>
      </w:r>
    </w:p>
    <w:p>
      <w:pPr>
        <w:pStyle w:val="BodyText"/>
        <w:spacing w:after="60"/>
        <w:ind w:left="29" w:hanging="29"/>
      </w:pPr>
      <w:r>
        <w:rPr>
          <w:b/>
        </w:rPr>
        <w:t xml:space="preserve">5.   </w:t>
      </w:r>
      <w:r>
        <w:t>9-step AI lifecycle.</w:t>
      </w:r>
    </w:p>
    <w:p>
      <w:pPr>
        <w:pStyle w:val="BodyText"/>
        <w:spacing w:after="60"/>
        <w:ind w:left="29" w:hanging="29"/>
      </w:pPr>
      <w:r>
        <w:rPr>
          <w:b/>
        </w:rPr>
        <w:t xml:space="preserve">6.   </w:t>
      </w:r>
      <w:r>
        <w:t>Transparent Capital Layer.</w:t>
      </w:r>
    </w:p>
    <w:p>
      <w:pPr>
        <w:pStyle w:val="BodyText"/>
        <w:spacing w:after="60"/>
        <w:ind w:left="29" w:hanging="29"/>
      </w:pPr>
      <w:r>
        <w:rPr>
          <w:b/>
        </w:rPr>
        <w:t xml:space="preserve">7.   </w:t>
      </w:r>
      <w:r>
        <w:t>Liquidity / execution technology.</w:t>
      </w:r>
    </w:p>
    <w:p>
      <w:pPr>
        <w:pStyle w:val="BodyText"/>
        <w:spacing w:after="60"/>
        <w:ind w:left="29" w:hanging="29"/>
      </w:pPr>
      <w:r>
        <w:rPr>
          <w:b/>
        </w:rPr>
        <w:t xml:space="preserve">8.   </w:t>
      </w:r>
      <w:r>
        <w:t>Security / control / permissions.</w:t>
      </w:r>
    </w:p>
    <w:p>
      <w:pPr>
        <w:pStyle w:val="BodyText"/>
        <w:spacing w:after="60"/>
        <w:ind w:left="29" w:hanging="29"/>
      </w:pPr>
      <w:r>
        <w:rPr>
          <w:b/>
        </w:rPr>
        <w:t xml:space="preserve">9.   </w:t>
      </w:r>
      <w:r>
        <w:t>Partners / IB / institutional direction.</w:t>
      </w:r>
    </w:p>
    <w:p>
      <w:pPr>
        <w:pStyle w:val="BodyText"/>
        <w:spacing w:after="60"/>
        <w:ind w:left="29" w:hanging="29"/>
      </w:pPr>
      <w:r>
        <w:rPr>
          <w:b/>
        </w:rPr>
        <w:t xml:space="preserve">10.   </w:t>
      </w:r>
      <w:r>
        <w:t>FAQ / risk disclosure / CTA / footer.</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8D7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COMPETITOR REFERENCES</w:t>
            </w:r>
          </w:p>
          <w:p>
            <w:pPr>
              <w:pStyle w:val="BodyText"/>
              <w:spacing w:after="80"/>
            </w:pPr>
            <w:r>
              <w:t>Use competitors only to learn information hierarchy, interaction clarity and product patterns. Do not clone proprietary copy, illustrations, branding, layout or feature claims.</w:t>
            </w:r>
          </w:p>
        </w:tc>
      </w:tr>
    </w:tbl>
    <w:p>
      <w:pPr>
        <w:spacing w:after="20"/>
      </w:pPr>
    </w:p>
    <w:p>
      <w:pPr>
        <w:pStyle w:val="Heading1"/>
        <w:keepNext/>
      </w:pPr>
      <w:r>
        <w:t>15. MVP Scope Freeze</w:t>
      </w:r>
    </w:p>
    <w:p>
      <w:pPr>
        <w:pStyle w:val="BodyText"/>
      </w:pPr>
      <w:r>
        <w:rPr>
          <w:i w:val="0"/>
        </w:rPr>
        <w:t>MVP should prove the core trading-capital loop before adding the entire long-term vision.</w:t>
      </w:r>
    </w:p>
    <w:p>
      <w:pPr>
        <w:pStyle w:val="Heading2"/>
        <w:keepNext/>
      </w:pPr>
      <w:r>
        <w:t>MVP — include</w:t>
      </w:r>
    </w:p>
    <w:p>
      <w:pPr>
        <w:pStyle w:val="ListBullet"/>
        <w:spacing w:after="80"/>
      </w:pPr>
      <w:r>
        <w:t>Authentication and user account</w:t>
      </w:r>
    </w:p>
    <w:p>
      <w:pPr>
        <w:pStyle w:val="ListBullet"/>
        <w:spacing w:after="80"/>
      </w:pPr>
      <w:r>
        <w:t>Wallet / supported stablecoin deposits</w:t>
      </w:r>
    </w:p>
    <w:p>
      <w:pPr>
        <w:pStyle w:val="ListBullet"/>
        <w:spacing w:after="80"/>
      </w:pPr>
      <w:r>
        <w:t>Internal double-entry ledger</w:t>
      </w:r>
    </w:p>
    <w:p>
      <w:pPr>
        <w:pStyle w:val="ListBullet"/>
        <w:spacing w:after="80"/>
      </w:pPr>
      <w:r>
        <w:t>MT5 trading-account integration</w:t>
      </w:r>
    </w:p>
    <w:p>
      <w:pPr>
        <w:pStyle w:val="ListBullet"/>
        <w:spacing w:after="80"/>
      </w:pPr>
      <w:r>
        <w:t>CRM / admin basics</w:t>
      </w:r>
    </w:p>
    <w:p>
      <w:pPr>
        <w:pStyle w:val="ListBullet"/>
        <w:spacing w:after="80"/>
      </w:pPr>
      <w:r>
        <w:t>Balance synchronization</w:t>
      </w:r>
    </w:p>
    <w:p>
      <w:pPr>
        <w:pStyle w:val="ListBullet"/>
        <w:spacing w:after="80"/>
      </w:pPr>
      <w:r>
        <w:t>Withdrawals</w:t>
      </w:r>
    </w:p>
    <w:p>
      <w:pPr>
        <w:pStyle w:val="ListBullet"/>
        <w:spacing w:after="80"/>
      </w:pPr>
      <w:r>
        <w:t>Transaction history</w:t>
      </w:r>
    </w:p>
    <w:p>
      <w:pPr>
        <w:pStyle w:val="ListBullet"/>
        <w:spacing w:after="80"/>
      </w:pPr>
      <w:r>
        <w:t>Basic liquidity / risk dashboard</w:t>
      </w:r>
    </w:p>
    <w:p>
      <w:pPr>
        <w:pStyle w:val="ListBullet"/>
        <w:spacing w:after="80"/>
      </w:pPr>
      <w:r>
        <w:t>Basic IB / partner support</w:t>
      </w:r>
    </w:p>
    <w:p>
      <w:pPr>
        <w:pStyle w:val="ListBullet"/>
        <w:spacing w:after="80"/>
      </w:pPr>
      <w:r>
        <w:t>Reconciliation framework</w:t>
      </w:r>
    </w:p>
    <w:p>
      <w:pPr>
        <w:pStyle w:val="ListBullet"/>
        <w:spacing w:after="80"/>
      </w:pPr>
      <w:r>
        <w:t>Security / audit logging</w:t>
      </w:r>
    </w:p>
    <w:p>
      <w:pPr>
        <w:pStyle w:val="Heading2"/>
        <w:keepNext/>
      </w:pPr>
      <w:r>
        <w:t>MVP — do not block launch on</w:t>
      </w:r>
    </w:p>
    <w:p>
      <w:pPr>
        <w:pStyle w:val="ListBullet"/>
        <w:spacing w:after="80"/>
      </w:pPr>
      <w:r>
        <w:t>DAO governance</w:t>
      </w:r>
    </w:p>
    <w:p>
      <w:pPr>
        <w:pStyle w:val="ListBullet"/>
        <w:spacing w:after="80"/>
      </w:pPr>
      <w:r>
        <w:t>Native ELVA terminal</w:t>
      </w:r>
    </w:p>
    <w:p>
      <w:pPr>
        <w:pStyle w:val="ListBullet"/>
        <w:spacing w:after="80"/>
      </w:pPr>
      <w:r>
        <w:t>Advanced multi-chain wallet abstraction</w:t>
      </w:r>
    </w:p>
    <w:p>
      <w:pPr>
        <w:pStyle w:val="ListBullet"/>
        <w:spacing w:after="80"/>
      </w:pPr>
      <w:r>
        <w:t>Full Liquidity OS</w:t>
      </w:r>
    </w:p>
    <w:p>
      <w:pPr>
        <w:pStyle w:val="ListBullet"/>
        <w:spacing w:after="80"/>
      </w:pPr>
      <w:r>
        <w:t>Public bot marketplace</w:t>
      </w:r>
    </w:p>
    <w:p>
      <w:pPr>
        <w:pStyle w:val="ListBullet"/>
        <w:spacing w:after="80"/>
      </w:pPr>
      <w:r>
        <w:t>Advanced AI Autopilot</w:t>
      </w:r>
    </w:p>
    <w:p>
      <w:pPr>
        <w:pStyle w:val="ListBullet"/>
        <w:spacing w:after="80"/>
      </w:pPr>
      <w:r>
        <w:t>Institutional API suite</w:t>
      </w:r>
    </w:p>
    <w:p>
      <w:pPr>
        <w:pStyle w:val="ListBullet"/>
        <w:spacing w:after="80"/>
      </w:pPr>
      <w:r>
        <w:t>Tokenized governance/economics</w:t>
      </w:r>
    </w:p>
    <w:p>
      <w:pPr>
        <w:pStyle w:val="BodyText"/>
      </w:pPr>
      <w:r>
        <w:rPr>
          <w:i w:val="0"/>
        </w:rPr>
        <w:t>ELVA Intelligence can be introduced in staged capability levels: analysis and explainability first; permissioned execution later after risk, audit and monitoring are proven.</w:t>
      </w:r>
    </w:p>
    <w:p>
      <w:pPr>
        <w:pStyle w:val="Heading1"/>
        <w:keepNext/>
      </w:pPr>
      <w:r>
        <w:t>16. Product Roadmap</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Phase</w:t>
            </w:r>
          </w:p>
        </w:tc>
        <w:tc>
          <w:tcPr>
            <w:tcW w:type="dxa" w:w="4917"/>
            <w:shd w:fill="0B1B2D"/>
            <w:vAlign w:val="center"/>
          </w:tcPr>
          <w:p>
            <w:r>
              <w:rPr>
                <w:b/>
                <w:color w:val="FFFFFF"/>
              </w:rPr>
              <w:t>Outcome</w:t>
            </w:r>
          </w:p>
        </w:tc>
      </w:tr>
      <w:tr>
        <w:trPr>
          <w:cantSplit w:val="true"/>
        </w:trPr>
        <w:tc>
          <w:tcPr>
            <w:tcW w:type="dxa" w:w="2880"/>
            <w:vAlign w:val="top"/>
            <w:tcBorders>
              <w:bottom w:val="single" w:sz="4" w:color="D8E4EF"/>
            </w:tcBorders>
          </w:tcPr>
          <w:p>
            <w:r>
              <w:t>Phase 0 — Foundation</w:t>
            </w:r>
          </w:p>
        </w:tc>
        <w:tc>
          <w:tcPr>
            <w:tcW w:type="dxa" w:w="6768"/>
            <w:vAlign w:val="top"/>
            <w:tcBorders>
              <w:bottom w:val="single" w:sz="4" w:color="D8E4EF"/>
            </w:tcBorders>
          </w:tcPr>
          <w:p>
            <w:r>
              <w:t>Master docs, architecture, repo, design system, environments, security baseline.</w:t>
            </w:r>
          </w:p>
        </w:tc>
      </w:tr>
      <w:tr>
        <w:trPr>
          <w:cantSplit w:val="true"/>
        </w:trPr>
        <w:tc>
          <w:tcPr>
            <w:tcW w:type="dxa" w:w="2880"/>
            <w:vAlign w:val="top"/>
            <w:tcBorders>
              <w:bottom w:val="single" w:sz="4" w:color="D8E4EF"/>
            </w:tcBorders>
          </w:tcPr>
          <w:p>
            <w:r>
              <w:t>Phase 1 — Broker Core MVP</w:t>
            </w:r>
          </w:p>
        </w:tc>
        <w:tc>
          <w:tcPr>
            <w:tcW w:type="dxa" w:w="6768"/>
            <w:vAlign w:val="top"/>
            <w:tcBorders>
              <w:bottom w:val="single" w:sz="4" w:color="D8E4EF"/>
            </w:tcBorders>
          </w:tcPr>
          <w:p>
            <w:r>
              <w:t>Account, wallet, deposit, ledger, MT5, admin, withdrawal, transaction history, reconciliation.</w:t>
            </w:r>
          </w:p>
        </w:tc>
      </w:tr>
      <w:tr>
        <w:trPr>
          <w:cantSplit w:val="true"/>
        </w:trPr>
        <w:tc>
          <w:tcPr>
            <w:tcW w:type="dxa" w:w="2880"/>
            <w:vAlign w:val="top"/>
            <w:tcBorders>
              <w:bottom w:val="single" w:sz="4" w:color="D8E4EF"/>
            </w:tcBorders>
          </w:tcPr>
          <w:p>
            <w:r>
              <w:t>Phase 2 — Trading Modes</w:t>
            </w:r>
          </w:p>
        </w:tc>
        <w:tc>
          <w:tcPr>
            <w:tcW w:type="dxa" w:w="6768"/>
            <w:vAlign w:val="top"/>
            <w:tcBorders>
              <w:bottom w:val="single" w:sz="4" w:color="D8E4EF"/>
            </w:tcBorders>
          </w:tcPr>
          <w:p>
            <w:r>
              <w:t>Copy Trading, Bot Trading, capital allocation and stronger risk controls.</w:t>
            </w:r>
          </w:p>
        </w:tc>
      </w:tr>
      <w:tr>
        <w:trPr>
          <w:cantSplit w:val="true"/>
        </w:trPr>
        <w:tc>
          <w:tcPr>
            <w:tcW w:type="dxa" w:w="2880"/>
            <w:vAlign w:val="top"/>
            <w:tcBorders>
              <w:bottom w:val="single" w:sz="4" w:color="D8E4EF"/>
            </w:tcBorders>
          </w:tcPr>
          <w:p>
            <w:r>
              <w:t>Phase 3 — ELVA Intelligence</w:t>
            </w:r>
          </w:p>
        </w:tc>
        <w:tc>
          <w:tcPr>
            <w:tcW w:type="dxa" w:w="6768"/>
            <w:vAlign w:val="top"/>
            <w:tcBorders>
              <w:bottom w:val="single" w:sz="4" w:color="D8E4EF"/>
            </w:tcBorders>
          </w:tcPr>
          <w:p>
            <w:r>
              <w:t>Copilot, scanner, strategy builder/challenge, Risk Guardian, monitoring, post-trade review, copy/bot intelligence.</w:t>
            </w:r>
          </w:p>
        </w:tc>
      </w:tr>
      <w:tr>
        <w:trPr>
          <w:cantSplit w:val="true"/>
        </w:trPr>
        <w:tc>
          <w:tcPr>
            <w:tcW w:type="dxa" w:w="2880"/>
            <w:vAlign w:val="top"/>
            <w:tcBorders>
              <w:bottom w:val="single" w:sz="4" w:color="D8E4EF"/>
            </w:tcBorders>
          </w:tcPr>
          <w:p>
            <w:r>
              <w:t>Phase 4 — Advanced Intelligence</w:t>
            </w:r>
          </w:p>
        </w:tc>
        <w:tc>
          <w:tcPr>
            <w:tcW w:type="dxa" w:w="6768"/>
            <w:vAlign w:val="top"/>
            <w:tcBorders>
              <w:bottom w:val="single" w:sz="4" w:color="D8E4EF"/>
            </w:tcBorders>
          </w:tcPr>
          <w:p>
            <w:r>
              <w:t>Portfolio Doctor, proactive alerts, advanced automation, personalized memory, multi-model routing.</w:t>
            </w:r>
          </w:p>
        </w:tc>
      </w:tr>
      <w:tr>
        <w:trPr>
          <w:cantSplit w:val="true"/>
        </w:trPr>
        <w:tc>
          <w:tcPr>
            <w:tcW w:type="dxa" w:w="2880"/>
            <w:vAlign w:val="top"/>
            <w:tcBorders>
              <w:bottom w:val="single" w:sz="4" w:color="D8E4EF"/>
            </w:tcBorders>
          </w:tcPr>
          <w:p>
            <w:r>
              <w:t>Phase 5 — Infrastructure</w:t>
            </w:r>
          </w:p>
        </w:tc>
        <w:tc>
          <w:tcPr>
            <w:tcW w:type="dxa" w:w="6768"/>
            <w:vAlign w:val="top"/>
            <w:tcBorders>
              <w:bottom w:val="single" w:sz="4" w:color="D8E4EF"/>
            </w:tcBorders>
          </w:tcPr>
          <w:p>
            <w:r>
              <w:t>Liquidity OS, advanced routing/hedging, native terminal, institutional APIs, brokerage-as-a-service.</w:t>
            </w:r>
          </w:p>
        </w:tc>
      </w:tr>
    </w:tbl>
    <w:p/>
    <w:p>
      <w:pPr>
        <w:pStyle w:val="Heading1"/>
        <w:keepNext/>
      </w:pPr>
      <w:r>
        <w:t>17. Execution Ownership &amp; Approval Matrix</w:t>
      </w:r>
    </w:p>
    <w:p>
      <w:pPr>
        <w:pStyle w:val="BodyText"/>
      </w:pPr>
      <w:r>
        <w:rPr>
          <w:i w:val="0"/>
        </w:rPr>
        <w:t>The team lead is the execution owner. The role is to translate approved product strategy into technical work, protect the architecture, coordinate developers and AI tools, enforce QA, surface blockers and escalate product decisions.</w:t>
      </w:r>
    </w:p>
    <w:p>
      <w:pPr>
        <w:pStyle w:val="Heading2"/>
        <w:keepNext/>
      </w:pPr>
      <w:r>
        <w:t>Team lead may decide without founder approval</w:t>
      </w:r>
    </w:p>
    <w:p>
      <w:pPr>
        <w:pStyle w:val="ListBullet"/>
        <w:spacing w:after="80"/>
      </w:pPr>
      <w:r>
        <w:t>Component/code organization</w:t>
      </w:r>
    </w:p>
    <w:p>
      <w:pPr>
        <w:pStyle w:val="ListBullet"/>
        <w:spacing w:after="80"/>
      </w:pPr>
      <w:r>
        <w:t>Implementation details</w:t>
      </w:r>
    </w:p>
    <w:p>
      <w:pPr>
        <w:pStyle w:val="ListBullet"/>
        <w:spacing w:after="80"/>
      </w:pPr>
      <w:r>
        <w:t>Small UX polish inside approved flow</w:t>
      </w:r>
    </w:p>
    <w:p>
      <w:pPr>
        <w:pStyle w:val="ListBullet"/>
        <w:spacing w:after="80"/>
      </w:pPr>
      <w:r>
        <w:t>Responsive behavior</w:t>
      </w:r>
    </w:p>
    <w:p>
      <w:pPr>
        <w:pStyle w:val="ListBullet"/>
        <w:spacing w:after="80"/>
      </w:pPr>
      <w:r>
        <w:t>Animation technique</w:t>
      </w:r>
    </w:p>
    <w:p>
      <w:pPr>
        <w:pStyle w:val="ListBullet"/>
        <w:spacing w:after="80"/>
      </w:pPr>
      <w:r>
        <w:t>Performance optimization</w:t>
      </w:r>
    </w:p>
    <w:p>
      <w:pPr>
        <w:pStyle w:val="ListBullet"/>
        <w:spacing w:after="80"/>
      </w:pPr>
      <w:r>
        <w:t>Task sequencing within approved milestone</w:t>
      </w:r>
    </w:p>
    <w:p>
      <w:pPr>
        <w:pStyle w:val="ListBullet"/>
        <w:spacing w:after="80"/>
      </w:pPr>
      <w:r>
        <w:t>Bug fixes that do not alter product logic</w:t>
      </w:r>
    </w:p>
    <w:p>
      <w:pPr>
        <w:pStyle w:val="ListBullet"/>
        <w:spacing w:after="80"/>
      </w:pPr>
      <w:r>
        <w:t>Developer task assignment</w:t>
      </w:r>
    </w:p>
    <w:p>
      <w:pPr>
        <w:pStyle w:val="Heading2"/>
        <w:keepNext/>
      </w:pPr>
      <w:r>
        <w:t>Founder/product approval required</w:t>
      </w:r>
    </w:p>
    <w:p>
      <w:pPr>
        <w:pStyle w:val="ListBullet"/>
        <w:spacing w:after="80"/>
      </w:pPr>
      <w:r>
        <w:t>New product features or removal of approved features</w:t>
      </w:r>
    </w:p>
    <w:p>
      <w:pPr>
        <w:pStyle w:val="ListBullet"/>
        <w:spacing w:after="80"/>
      </w:pPr>
      <w:r>
        <w:t>Business model / pricing / fee changes</w:t>
      </w:r>
    </w:p>
    <w:p>
      <w:pPr>
        <w:pStyle w:val="ListBullet"/>
        <w:spacing w:after="80"/>
      </w:pPr>
      <w:r>
        <w:t>Money-flow or capital-state changes</w:t>
      </w:r>
    </w:p>
    <w:p>
      <w:pPr>
        <w:pStyle w:val="ListBullet"/>
        <w:spacing w:after="80"/>
      </w:pPr>
      <w:r>
        <w:t>Custody / wallet / withdrawal changes</w:t>
      </w:r>
    </w:p>
    <w:p>
      <w:pPr>
        <w:pStyle w:val="ListBullet"/>
        <w:spacing w:after="80"/>
      </w:pPr>
      <w:r>
        <w:t>AI authority or automation changes</w:t>
      </w:r>
    </w:p>
    <w:p>
      <w:pPr>
        <w:pStyle w:val="ListBullet"/>
        <w:spacing w:after="80"/>
      </w:pPr>
      <w:r>
        <w:t>Risk-engine rules</w:t>
      </w:r>
    </w:p>
    <w:p>
      <w:pPr>
        <w:pStyle w:val="ListBullet"/>
        <w:spacing w:after="80"/>
      </w:pPr>
      <w:r>
        <w:t>Copy trading economics or control logic</w:t>
      </w:r>
    </w:p>
    <w:p>
      <w:pPr>
        <w:pStyle w:val="ListBullet"/>
        <w:spacing w:after="80"/>
      </w:pPr>
      <w:r>
        <w:t>Bot permissions</w:t>
      </w:r>
    </w:p>
    <w:p>
      <w:pPr>
        <w:pStyle w:val="ListBullet"/>
        <w:spacing w:after="80"/>
      </w:pPr>
      <w:r>
        <w:t>Liquidity/risk model changes</w:t>
      </w:r>
    </w:p>
    <w:p>
      <w:pPr>
        <w:pStyle w:val="ListBullet"/>
        <w:spacing w:after="80"/>
      </w:pPr>
      <w:r>
        <w:t>Major brand or UX direction changes</w:t>
      </w:r>
    </w:p>
    <w:p>
      <w:pPr>
        <w:pStyle w:val="ListBullet"/>
        <w:spacing w:after="80"/>
      </w:pPr>
      <w:r>
        <w:t>Blockchain architecture changes</w:t>
      </w:r>
    </w:p>
    <w:p>
      <w:pPr>
        <w:pStyle w:val="ListBullet"/>
        <w:spacing w:after="80"/>
      </w:pPr>
      <w:r>
        <w:t>Claims about licensing, performance or guarantees</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E4545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ESCALATION RULE</w:t>
            </w:r>
          </w:p>
          <w:p>
            <w:pPr>
              <w:pStyle w:val="BodyText"/>
              <w:spacing w:after="80"/>
            </w:pPr>
            <w:r>
              <w:t>When in doubt, do not guess. Preserve the current system, document the question and escalate the decision.</w:t>
            </w:r>
          </w:p>
        </w:tc>
      </w:tr>
    </w:tbl>
    <w:p>
      <w:pPr>
        <w:spacing w:after="20"/>
      </w:pPr>
    </w:p>
    <w:p>
      <w:pPr>
        <w:pStyle w:val="Heading1"/>
        <w:keepNext/>
      </w:pPr>
      <w:r>
        <w:t>18. Claude Operating Model</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8D7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CLAUDE’S ROLE</w:t>
            </w:r>
          </w:p>
          <w:p>
            <w:pPr>
              <w:pStyle w:val="BodyText"/>
              <w:spacing w:after="80"/>
            </w:pPr>
            <w:r>
              <w:t>Claude is an implementation copilot — not the product owner, not the founder, and not the final architecture authority.</w:t>
            </w:r>
          </w:p>
        </w:tc>
      </w:tr>
    </w:tbl>
    <w:p>
      <w:pPr>
        <w:spacing w:after="20"/>
      </w:pPr>
    </w:p>
    <w:p>
      <w:pPr>
        <w:pStyle w:val="Heading2"/>
        <w:keepNext/>
      </w:pPr>
      <w:r>
        <w:t>Claude may be used for</w:t>
      </w:r>
    </w:p>
    <w:p>
      <w:pPr>
        <w:pStyle w:val="ListBullet"/>
        <w:spacing w:after="80"/>
      </w:pPr>
      <w:r>
        <w:t>Requirement breakdown</w:t>
      </w:r>
    </w:p>
    <w:p>
      <w:pPr>
        <w:pStyle w:val="ListBullet"/>
        <w:spacing w:after="80"/>
      </w:pPr>
      <w:r>
        <w:t>Frontend implementation</w:t>
      </w:r>
    </w:p>
    <w:p>
      <w:pPr>
        <w:pStyle w:val="ListBullet"/>
        <w:spacing w:after="80"/>
      </w:pPr>
      <w:r>
        <w:t>Backend scaffolding and API design</w:t>
      </w:r>
    </w:p>
    <w:p>
      <w:pPr>
        <w:pStyle w:val="ListBullet"/>
        <w:spacing w:after="80"/>
      </w:pPr>
      <w:r>
        <w:t>Architecture refinement within approved rules</w:t>
      </w:r>
    </w:p>
    <w:p>
      <w:pPr>
        <w:pStyle w:val="ListBullet"/>
        <w:spacing w:after="80"/>
      </w:pPr>
      <w:r>
        <w:t>Database schema drafts</w:t>
      </w:r>
    </w:p>
    <w:p>
      <w:pPr>
        <w:pStyle w:val="ListBullet"/>
        <w:spacing w:after="80"/>
      </w:pPr>
      <w:r>
        <w:t>Debugging</w:t>
      </w:r>
    </w:p>
    <w:p>
      <w:pPr>
        <w:pStyle w:val="ListBullet"/>
        <w:spacing w:after="80"/>
      </w:pPr>
      <w:r>
        <w:t>Testing and test-case generation</w:t>
      </w:r>
    </w:p>
    <w:p>
      <w:pPr>
        <w:pStyle w:val="ListBullet"/>
        <w:spacing w:after="80"/>
      </w:pPr>
      <w:r>
        <w:t>Documentation</w:t>
      </w:r>
    </w:p>
    <w:p>
      <w:pPr>
        <w:pStyle w:val="ListBullet"/>
        <w:spacing w:after="80"/>
      </w:pPr>
      <w:r>
        <w:t>Code review</w:t>
      </w:r>
    </w:p>
    <w:p>
      <w:pPr>
        <w:pStyle w:val="ListBullet"/>
        <w:spacing w:after="80"/>
      </w:pPr>
      <w:r>
        <w:t>UX iteration</w:t>
      </w:r>
    </w:p>
    <w:p>
      <w:pPr>
        <w:pStyle w:val="ListBullet"/>
        <w:spacing w:after="80"/>
      </w:pPr>
      <w:r>
        <w:t>Refactoring</w:t>
      </w:r>
    </w:p>
    <w:p>
      <w:pPr>
        <w:pStyle w:val="ListBullet"/>
        <w:spacing w:after="80"/>
      </w:pPr>
      <w:r>
        <w:t>Performance and accessibility review</w:t>
      </w:r>
    </w:p>
    <w:p>
      <w:pPr>
        <w:pStyle w:val="Heading2"/>
        <w:keepNext/>
      </w:pPr>
      <w:r>
        <w:t>Mandatory Claude workflow</w:t>
      </w:r>
    </w:p>
    <w:p>
      <w:pPr>
        <w:pStyle w:val="BodyText"/>
        <w:spacing w:after="60"/>
        <w:ind w:left="29" w:hanging="29"/>
      </w:pPr>
      <w:r>
        <w:rPr>
          <w:b/>
        </w:rPr>
        <w:t xml:space="preserve">1.   </w:t>
      </w:r>
      <w:r>
        <w:t>Provide the current product context and relevant files.</w:t>
      </w:r>
    </w:p>
    <w:p>
      <w:pPr>
        <w:pStyle w:val="BodyText"/>
        <w:spacing w:after="60"/>
        <w:ind w:left="29" w:hanging="29"/>
      </w:pPr>
      <w:r>
        <w:rPr>
          <w:b/>
        </w:rPr>
        <w:t xml:space="preserve">2.   </w:t>
      </w:r>
      <w:r>
        <w:t>Ask Claude to inspect before editing.</w:t>
      </w:r>
    </w:p>
    <w:p>
      <w:pPr>
        <w:pStyle w:val="BodyText"/>
        <w:spacing w:after="60"/>
        <w:ind w:left="29" w:hanging="29"/>
      </w:pPr>
      <w:r>
        <w:rPr>
          <w:b/>
        </w:rPr>
        <w:t xml:space="preserve">3.   </w:t>
      </w:r>
      <w:r>
        <w:t>Ask for a change plan first.</w:t>
      </w:r>
    </w:p>
    <w:p>
      <w:pPr>
        <w:pStyle w:val="BodyText"/>
        <w:spacing w:after="60"/>
        <w:ind w:left="29" w:hanging="29"/>
      </w:pPr>
      <w:r>
        <w:rPr>
          <w:b/>
        </w:rPr>
        <w:t xml:space="preserve">4.   </w:t>
      </w:r>
      <w:r>
        <w:t>Team lead reviews the plan.</w:t>
      </w:r>
    </w:p>
    <w:p>
      <w:pPr>
        <w:pStyle w:val="BodyText"/>
        <w:spacing w:after="60"/>
        <w:ind w:left="29" w:hanging="29"/>
      </w:pPr>
      <w:r>
        <w:rPr>
          <w:b/>
        </w:rPr>
        <w:t xml:space="preserve">5.   </w:t>
      </w:r>
      <w:r>
        <w:t>Approve a small scoped task.</w:t>
      </w:r>
    </w:p>
    <w:p>
      <w:pPr>
        <w:pStyle w:val="BodyText"/>
        <w:spacing w:after="60"/>
        <w:ind w:left="29" w:hanging="29"/>
      </w:pPr>
      <w:r>
        <w:rPr>
          <w:b/>
        </w:rPr>
        <w:t xml:space="preserve">6.   </w:t>
      </w:r>
      <w:r>
        <w:t>Claude implements only the approved scope.</w:t>
      </w:r>
    </w:p>
    <w:p>
      <w:pPr>
        <w:pStyle w:val="BodyText"/>
        <w:spacing w:after="60"/>
        <w:ind w:left="29" w:hanging="29"/>
      </w:pPr>
      <w:r>
        <w:rPr>
          <w:b/>
        </w:rPr>
        <w:t xml:space="preserve">7.   </w:t>
      </w:r>
      <w:r>
        <w:t>Run locally and test.</w:t>
      </w:r>
    </w:p>
    <w:p>
      <w:pPr>
        <w:pStyle w:val="BodyText"/>
        <w:spacing w:after="60"/>
        <w:ind w:left="29" w:hanging="29"/>
      </w:pPr>
      <w:r>
        <w:rPr>
          <w:b/>
        </w:rPr>
        <w:t xml:space="preserve">8.   </w:t>
      </w:r>
      <w:r>
        <w:t>Ask Claude to self-review as frontend/UX/fintech/security reviewer.</w:t>
      </w:r>
    </w:p>
    <w:p>
      <w:pPr>
        <w:pStyle w:val="BodyText"/>
        <w:spacing w:after="60"/>
        <w:ind w:left="29" w:hanging="29"/>
      </w:pPr>
      <w:r>
        <w:rPr>
          <w:b/>
        </w:rPr>
        <w:t xml:space="preserve">9.   </w:t>
      </w:r>
      <w:r>
        <w:t>Fix identified issues without redesigning approved sections.</w:t>
      </w:r>
    </w:p>
    <w:p>
      <w:pPr>
        <w:pStyle w:val="BodyText"/>
        <w:spacing w:after="60"/>
        <w:ind w:left="29" w:hanging="29"/>
      </w:pPr>
      <w:r>
        <w:rPr>
          <w:b/>
        </w:rPr>
        <w:t xml:space="preserve">10.   </w:t>
      </w:r>
      <w:r>
        <w:t>Commit only after passing QA.</w:t>
      </w:r>
    </w:p>
    <w:p>
      <w:pPr>
        <w:pStyle w:val="Heading2"/>
        <w:keepNext/>
      </w:pPr>
      <w:r>
        <w:t>Task prompt format</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Prompt Block</w:t>
            </w:r>
          </w:p>
        </w:tc>
        <w:tc>
          <w:tcPr>
            <w:tcW w:type="dxa" w:w="4917"/>
            <w:shd w:fill="0B1B2D"/>
            <w:vAlign w:val="center"/>
          </w:tcPr>
          <w:p>
            <w:r>
              <w:rPr>
                <w:b/>
                <w:color w:val="FFFFFF"/>
              </w:rPr>
              <w:t>What to Write</w:t>
            </w:r>
          </w:p>
        </w:tc>
      </w:tr>
      <w:tr>
        <w:trPr>
          <w:cantSplit w:val="true"/>
        </w:trPr>
        <w:tc>
          <w:tcPr>
            <w:tcW w:type="dxa" w:w="2880"/>
            <w:vAlign w:val="top"/>
            <w:tcBorders>
              <w:bottom w:val="single" w:sz="4" w:color="D8E4EF"/>
            </w:tcBorders>
          </w:tcPr>
          <w:p>
            <w:r>
              <w:t>TASK</w:t>
            </w:r>
          </w:p>
        </w:tc>
        <w:tc>
          <w:tcPr>
            <w:tcW w:type="dxa" w:w="6768"/>
            <w:vAlign w:val="top"/>
            <w:tcBorders>
              <w:bottom w:val="single" w:sz="4" w:color="D8E4EF"/>
            </w:tcBorders>
          </w:tcPr>
          <w:p>
            <w:r>
              <w:t>One clearly defined feature or section.</w:t>
            </w:r>
          </w:p>
        </w:tc>
      </w:tr>
      <w:tr>
        <w:trPr>
          <w:cantSplit w:val="true"/>
        </w:trPr>
        <w:tc>
          <w:tcPr>
            <w:tcW w:type="dxa" w:w="2880"/>
            <w:vAlign w:val="top"/>
            <w:tcBorders>
              <w:bottom w:val="single" w:sz="4" w:color="D8E4EF"/>
            </w:tcBorders>
          </w:tcPr>
          <w:p>
            <w:r>
              <w:t>KEEP</w:t>
            </w:r>
          </w:p>
        </w:tc>
        <w:tc>
          <w:tcPr>
            <w:tcW w:type="dxa" w:w="6768"/>
            <w:vAlign w:val="top"/>
            <w:tcBorders>
              <w:bottom w:val="single" w:sz="4" w:color="D8E4EF"/>
            </w:tcBorders>
          </w:tcPr>
          <w:p>
            <w:r>
              <w:t>What must remain unchanged.</w:t>
            </w:r>
          </w:p>
        </w:tc>
      </w:tr>
      <w:tr>
        <w:trPr>
          <w:cantSplit w:val="true"/>
        </w:trPr>
        <w:tc>
          <w:tcPr>
            <w:tcW w:type="dxa" w:w="2880"/>
            <w:vAlign w:val="top"/>
            <w:tcBorders>
              <w:bottom w:val="single" w:sz="4" w:color="D8E4EF"/>
            </w:tcBorders>
          </w:tcPr>
          <w:p>
            <w:r>
              <w:t>CHANGE</w:t>
            </w:r>
          </w:p>
        </w:tc>
        <w:tc>
          <w:tcPr>
            <w:tcW w:type="dxa" w:w="6768"/>
            <w:vAlign w:val="top"/>
            <w:tcBorders>
              <w:bottom w:val="single" w:sz="4" w:color="D8E4EF"/>
            </w:tcBorders>
          </w:tcPr>
          <w:p>
            <w:r>
              <w:t>What must be changed.</w:t>
            </w:r>
          </w:p>
        </w:tc>
      </w:tr>
      <w:tr>
        <w:trPr>
          <w:cantSplit w:val="true"/>
        </w:trPr>
        <w:tc>
          <w:tcPr>
            <w:tcW w:type="dxa" w:w="2880"/>
            <w:vAlign w:val="top"/>
            <w:tcBorders>
              <w:bottom w:val="single" w:sz="4" w:color="D8E4EF"/>
            </w:tcBorders>
          </w:tcPr>
          <w:p>
            <w:r>
              <w:t>PRODUCT RULES</w:t>
            </w:r>
          </w:p>
        </w:tc>
        <w:tc>
          <w:tcPr>
            <w:tcW w:type="dxa" w:w="6768"/>
            <w:vAlign w:val="top"/>
            <w:tcBorders>
              <w:bottom w:val="single" w:sz="4" w:color="D8E4EF"/>
            </w:tcBorders>
          </w:tcPr>
          <w:p>
            <w:r>
              <w:t>Relevant capital, risk, AI or custody constraints.</w:t>
            </w:r>
          </w:p>
        </w:tc>
      </w:tr>
      <w:tr>
        <w:trPr>
          <w:cantSplit w:val="true"/>
        </w:trPr>
        <w:tc>
          <w:tcPr>
            <w:tcW w:type="dxa" w:w="2880"/>
            <w:vAlign w:val="top"/>
            <w:tcBorders>
              <w:bottom w:val="single" w:sz="4" w:color="D8E4EF"/>
            </w:tcBorders>
          </w:tcPr>
          <w:p>
            <w:r>
              <w:t>DESIGN REFERENCE</w:t>
            </w:r>
          </w:p>
        </w:tc>
        <w:tc>
          <w:tcPr>
            <w:tcW w:type="dxa" w:w="6768"/>
            <w:vAlign w:val="top"/>
            <w:tcBorders>
              <w:bottom w:val="single" w:sz="4" w:color="D8E4EF"/>
            </w:tcBorders>
          </w:tcPr>
          <w:p>
            <w:r>
              <w:t>Screenshot/reference and what to learn from it — never clone blindly.</w:t>
            </w:r>
          </w:p>
        </w:tc>
      </w:tr>
      <w:tr>
        <w:trPr>
          <w:cantSplit w:val="true"/>
        </w:trPr>
        <w:tc>
          <w:tcPr>
            <w:tcW w:type="dxa" w:w="2880"/>
            <w:vAlign w:val="top"/>
            <w:tcBorders>
              <w:bottom w:val="single" w:sz="4" w:color="D8E4EF"/>
            </w:tcBorders>
          </w:tcPr>
          <w:p>
            <w:r>
              <w:t>ACCEPTANCE CRITERIA</w:t>
            </w:r>
          </w:p>
        </w:tc>
        <w:tc>
          <w:tcPr>
            <w:tcW w:type="dxa" w:w="6768"/>
            <w:vAlign w:val="top"/>
            <w:tcBorders>
              <w:bottom w:val="single" w:sz="4" w:color="D8E4EF"/>
            </w:tcBorders>
          </w:tcPr>
          <w:p>
            <w:r>
              <w:t>How the team will know the work is complete.</w:t>
            </w:r>
          </w:p>
        </w:tc>
      </w:tr>
    </w:tbl>
    <w:p/>
    <w:p>
      <w:pPr>
        <w:pStyle w:val="Heading2"/>
        <w:keepNext/>
      </w:pPr>
      <w:r>
        <w:t>New Claude session opening instruction</w:t>
      </w:r>
    </w:p>
    <w:p>
      <w:pPr>
        <w:pStyle w:val="BodyText"/>
      </w:pPr>
      <w:r>
        <w:rPr>
          <w:i w:val="0"/>
        </w:rPr>
        <w:t>Use the separate ELVA Master Context file as the permanent product context. Claude must first summarize its understanding, identified components, planned changes, preservation requirements and technical risks before any major edit.</w:t>
      </w:r>
    </w:p>
    <w:p>
      <w:pPr>
        <w:pStyle w:val="Heading1"/>
        <w:keepNext/>
      </w:pPr>
      <w:r>
        <w:t>19. Engineering Workflow &amp; Repository Rules</w:t>
      </w:r>
    </w:p>
    <w:p>
      <w:pPr>
        <w:pStyle w:val="Heading2"/>
        <w:keepNext/>
      </w:pPr>
      <w:r>
        <w:t>Repository source-of-truth</w:t>
      </w:r>
    </w:p>
    <w:p>
      <w:pPr>
        <w:pStyle w:val="ListBullet"/>
        <w:spacing w:after="80"/>
      </w:pPr>
      <w:r>
        <w:t>/docs/ELVA_MASTER_PLAN.md — business/product baseline</w:t>
      </w:r>
    </w:p>
    <w:p>
      <w:pPr>
        <w:pStyle w:val="ListBullet"/>
        <w:spacing w:after="80"/>
      </w:pPr>
      <w:r>
        <w:t>/docs/ELVA_PRODUCT_CONTEXT.md — product rules and terminology</w:t>
      </w:r>
    </w:p>
    <w:p>
      <w:pPr>
        <w:pStyle w:val="ListBullet"/>
        <w:spacing w:after="80"/>
      </w:pPr>
      <w:r>
        <w:t>/docs/ELVA_ARCHITECTURE.md — system architecture</w:t>
      </w:r>
    </w:p>
    <w:p>
      <w:pPr>
        <w:pStyle w:val="ListBullet"/>
        <w:spacing w:after="80"/>
      </w:pPr>
      <w:r>
        <w:t>/docs/ELVA_AI_RULES.md — Intelligence permissions and flows</w:t>
      </w:r>
    </w:p>
    <w:p>
      <w:pPr>
        <w:pStyle w:val="ListBullet"/>
        <w:spacing w:after="80"/>
      </w:pPr>
      <w:r>
        <w:t>/docs/DECISIONS.md — approved decisions and rationale</w:t>
      </w:r>
    </w:p>
    <w:p>
      <w:pPr>
        <w:pStyle w:val="ListBullet"/>
        <w:spacing w:after="80"/>
      </w:pPr>
      <w:r>
        <w:t>/CHANGELOG.md — implemented changes and unresolved issues</w:t>
      </w:r>
    </w:p>
    <w:p>
      <w:pPr>
        <w:pStyle w:val="Heading2"/>
        <w:keepNext/>
      </w:pPr>
      <w:r>
        <w:t>Git workflow</w:t>
      </w:r>
    </w:p>
    <w:p>
      <w:pPr>
        <w:pStyle w:val="ListBullet"/>
        <w:spacing w:after="80"/>
      </w:pPr>
      <w:r>
        <w:t>main — production-ready baseline</w:t>
      </w:r>
    </w:p>
    <w:p>
      <w:pPr>
        <w:pStyle w:val="ListBullet"/>
        <w:spacing w:after="80"/>
      </w:pPr>
      <w:r>
        <w:t>dev — integration branch</w:t>
      </w:r>
    </w:p>
    <w:p>
      <w:pPr>
        <w:pStyle w:val="ListBullet"/>
        <w:spacing w:after="80"/>
      </w:pPr>
      <w:r>
        <w:t>feature/elva-ai-hero</w:t>
      </w:r>
    </w:p>
    <w:p>
      <w:pPr>
        <w:pStyle w:val="ListBullet"/>
        <w:spacing w:after="80"/>
      </w:pPr>
      <w:r>
        <w:t>feature/intelligence-dashboard</w:t>
      </w:r>
    </w:p>
    <w:p>
      <w:pPr>
        <w:pStyle w:val="ListBullet"/>
        <w:spacing w:after="80"/>
      </w:pPr>
      <w:r>
        <w:t>feature/copy-trading</w:t>
      </w:r>
    </w:p>
    <w:p>
      <w:pPr>
        <w:pStyle w:val="ListBullet"/>
        <w:spacing w:after="80"/>
      </w:pPr>
      <w:r>
        <w:t>feature/bot-inspector</w:t>
      </w:r>
    </w:p>
    <w:p>
      <w:pPr>
        <w:pStyle w:val="ListBullet"/>
        <w:spacing w:after="80"/>
      </w:pPr>
      <w:r>
        <w:t>feature/capital-layer</w:t>
      </w:r>
    </w:p>
    <w:p>
      <w:pPr>
        <w:pStyle w:val="BodyText"/>
      </w:pPr>
      <w:r>
        <w:rPr>
          <w:i w:val="0"/>
        </w:rPr>
        <w:t>Never overwrite the only working version. Every meaningful feature should have a branch, review, test, commit and merge path.</w:t>
      </w:r>
    </w:p>
    <w:p>
      <w:pPr>
        <w:pStyle w:val="Heading1"/>
        <w:keepNext/>
      </w:pPr>
      <w:r>
        <w:t>20. Security &amp; Secret Handling</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E4545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DO NOT SHARE WITH AI TOOLS</w:t>
            </w:r>
          </w:p>
          <w:p>
            <w:pPr>
              <w:pStyle w:val="BodyText"/>
              <w:spacing w:after="80"/>
            </w:pPr>
            <w:r>
              <w:t>Private keys, seed phrases, exchange API secrets, MT5 manager/admin passwords, production database credentials, cloud root credentials, signing keys or raw customer personal data.</w:t>
            </w:r>
          </w:p>
        </w:tc>
      </w:tr>
    </w:tbl>
    <w:p>
      <w:pPr>
        <w:spacing w:after="20"/>
      </w:pPr>
    </w:p>
    <w:p>
      <w:pPr>
        <w:pStyle w:val="ListBullet"/>
        <w:spacing w:after="80"/>
      </w:pPr>
      <w:r>
        <w:t>Use environment variables and secrets management.</w:t>
      </w:r>
    </w:p>
    <w:p>
      <w:pPr>
        <w:pStyle w:val="ListBullet"/>
        <w:spacing w:after="80"/>
      </w:pPr>
      <w:r>
        <w:t>Use dummy/restricted credentials in examples.</w:t>
      </w:r>
    </w:p>
    <w:p>
      <w:pPr>
        <w:pStyle w:val="ListBullet"/>
        <w:spacing w:after="80"/>
      </w:pPr>
      <w:r>
        <w:t>Apply least-privilege permissions.</w:t>
      </w:r>
    </w:p>
    <w:p>
      <w:pPr>
        <w:pStyle w:val="ListBullet"/>
        <w:spacing w:after="80"/>
      </w:pPr>
      <w:r>
        <w:t>Separate trading permissions from custody/withdrawal permissions.</w:t>
      </w:r>
    </w:p>
    <w:p>
      <w:pPr>
        <w:pStyle w:val="ListBullet"/>
        <w:spacing w:after="80"/>
      </w:pPr>
      <w:r>
        <w:t>Audit sensitive actions.</w:t>
      </w:r>
    </w:p>
    <w:p>
      <w:pPr>
        <w:pStyle w:val="ListBullet"/>
        <w:spacing w:after="80"/>
      </w:pPr>
      <w:r>
        <w:t>Use dedicated service identities rather than personal credentials.</w:t>
      </w:r>
    </w:p>
    <w:p>
      <w:pPr>
        <w:pStyle w:val="ListBullet"/>
        <w:spacing w:after="80"/>
      </w:pPr>
      <w:r>
        <w:t>Design kill switches for automation and abnormal execution states.</w:t>
      </w:r>
    </w:p>
    <w:p>
      <w:pPr>
        <w:pStyle w:val="Heading1"/>
        <w:keepNext/>
      </w:pPr>
      <w:r>
        <w:t>21. QA, Testing &amp; Release Gates</w:t>
      </w:r>
    </w:p>
    <w:p>
      <w:pPr>
        <w:pStyle w:val="Heading2"/>
        <w:keepNext/>
      </w:pPr>
      <w:r>
        <w:t>Frontend checks</w:t>
      </w:r>
    </w:p>
    <w:p>
      <w:pPr>
        <w:pStyle w:val="ListBullet"/>
        <w:spacing w:after="80"/>
      </w:pPr>
      <w:r>
        <w:t>Desktop: 1440 / 1280 / 1024 px</w:t>
      </w:r>
    </w:p>
    <w:p>
      <w:pPr>
        <w:pStyle w:val="ListBullet"/>
        <w:spacing w:after="80"/>
      </w:pPr>
      <w:r>
        <w:t>Mobile: 390 / 375 / 360 px</w:t>
      </w:r>
    </w:p>
    <w:p>
      <w:pPr>
        <w:pStyle w:val="ListBullet"/>
        <w:spacing w:after="80"/>
      </w:pPr>
      <w:r>
        <w:t>No horizontal overflow</w:t>
      </w:r>
    </w:p>
    <w:p>
      <w:pPr>
        <w:pStyle w:val="ListBullet"/>
        <w:spacing w:after="80"/>
      </w:pPr>
      <w:r>
        <w:t>Navigation and section anchors work</w:t>
      </w:r>
    </w:p>
    <w:p>
      <w:pPr>
        <w:pStyle w:val="ListBullet"/>
        <w:spacing w:after="80"/>
      </w:pPr>
      <w:r>
        <w:t>No overlapping cards/text</w:t>
      </w:r>
    </w:p>
    <w:p>
      <w:pPr>
        <w:pStyle w:val="ListBullet"/>
        <w:spacing w:after="80"/>
      </w:pPr>
      <w:r>
        <w:t>Animations remain smooth</w:t>
      </w:r>
    </w:p>
    <w:p>
      <w:pPr>
        <w:pStyle w:val="ListBullet"/>
        <w:spacing w:after="80"/>
      </w:pPr>
      <w:r>
        <w:t>Logo and typography remain sharp</w:t>
      </w:r>
    </w:p>
    <w:p>
      <w:pPr>
        <w:pStyle w:val="ListBullet"/>
        <w:spacing w:after="80"/>
      </w:pPr>
      <w:r>
        <w:t>No console errors</w:t>
      </w:r>
    </w:p>
    <w:p>
      <w:pPr>
        <w:pStyle w:val="ListBullet"/>
        <w:spacing w:after="80"/>
      </w:pPr>
      <w:r>
        <w:t>Accessibility and keyboard states checked</w:t>
      </w:r>
    </w:p>
    <w:p>
      <w:pPr>
        <w:pStyle w:val="Heading2"/>
        <w:keepNext/>
      </w:pPr>
      <w:r>
        <w:t>Trading / capital checks</w:t>
      </w:r>
    </w:p>
    <w:p>
      <w:pPr>
        <w:pStyle w:val="ListBullet"/>
        <w:spacing w:after="80"/>
      </w:pPr>
      <w:r>
        <w:t>Deposit credit matches blockchain confirmation policy</w:t>
      </w:r>
    </w:p>
    <w:p>
      <w:pPr>
        <w:pStyle w:val="ListBullet"/>
        <w:spacing w:after="80"/>
      </w:pPr>
      <w:r>
        <w:t>Ledger remains balanced</w:t>
      </w:r>
    </w:p>
    <w:p>
      <w:pPr>
        <w:pStyle w:val="ListBullet"/>
        <w:spacing w:after="80"/>
      </w:pPr>
      <w:r>
        <w:t>MT5 account balance reconciliation works</w:t>
      </w:r>
    </w:p>
    <w:p>
      <w:pPr>
        <w:pStyle w:val="ListBullet"/>
        <w:spacing w:after="80"/>
      </w:pPr>
      <w:r>
        <w:t>P&amp;L posting is consistent</w:t>
      </w:r>
    </w:p>
    <w:p>
      <w:pPr>
        <w:pStyle w:val="ListBullet"/>
        <w:spacing w:after="80"/>
      </w:pPr>
      <w:r>
        <w:t>Withdrawal eligibility is correct</w:t>
      </w:r>
    </w:p>
    <w:p>
      <w:pPr>
        <w:pStyle w:val="ListBullet"/>
        <w:spacing w:after="80"/>
      </w:pPr>
      <w:r>
        <w:t>Allocation boundaries are enforced</w:t>
      </w:r>
    </w:p>
    <w:p>
      <w:pPr>
        <w:pStyle w:val="ListBullet"/>
        <w:spacing w:after="80"/>
      </w:pPr>
      <w:r>
        <w:t>AI/bot cannot access unallocated capital</w:t>
      </w:r>
    </w:p>
    <w:p>
      <w:pPr>
        <w:pStyle w:val="ListBullet"/>
        <w:spacing w:after="80"/>
      </w:pPr>
      <w:r>
        <w:t>Risk Engine blocks invalid automated trades</w:t>
      </w:r>
    </w:p>
    <w:p>
      <w:pPr>
        <w:pStyle w:val="ListBullet"/>
        <w:spacing w:after="80"/>
      </w:pPr>
      <w:r>
        <w:t>Audit logs capture approvals and execution</w:t>
      </w:r>
    </w:p>
    <w:p>
      <w:pPr>
        <w:pStyle w:val="Heading2"/>
        <w:keepNext/>
      </w:pPr>
      <w:r>
        <w:t>Release gate</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6B784"/>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NO PASS, NO MERGE</w:t>
            </w:r>
          </w:p>
          <w:p>
            <w:pPr>
              <w:pStyle w:val="BodyText"/>
              <w:spacing w:after="80"/>
            </w:pPr>
            <w:r>
              <w:t>A feature is not complete because Claude generated code or because the UI “looks right.” It is complete only when it meets product rules, tests, responsive checks, security controls and acceptance criteria.</w:t>
            </w:r>
          </w:p>
        </w:tc>
      </w:tr>
    </w:tbl>
    <w:p>
      <w:pPr>
        <w:spacing w:after="20"/>
      </w:pPr>
    </w:p>
    <w:p>
      <w:pPr>
        <w:pStyle w:val="Heading1"/>
        <w:keepNext/>
      </w:pPr>
      <w:r>
        <w:t>22. Reporting &amp; Communication</w:t>
      </w:r>
    </w:p>
    <w:p>
      <w:pPr>
        <w:pStyle w:val="BodyText"/>
      </w:pPr>
      <w:r>
        <w:rPr>
          <w:i w:val="0"/>
        </w:rPr>
        <w:t>The founder should not need to inspect daily code. The team lead should provide a concise weekly execution report.</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Report Block</w:t>
            </w:r>
          </w:p>
        </w:tc>
        <w:tc>
          <w:tcPr>
            <w:tcW w:type="dxa" w:w="4917"/>
            <w:shd w:fill="0B1B2D"/>
            <w:vAlign w:val="center"/>
          </w:tcPr>
          <w:p>
            <w:r>
              <w:rPr>
                <w:b/>
                <w:color w:val="FFFFFF"/>
              </w:rPr>
              <w:t>Content</w:t>
            </w:r>
          </w:p>
        </w:tc>
      </w:tr>
      <w:tr>
        <w:trPr>
          <w:cantSplit w:val="true"/>
        </w:trPr>
        <w:tc>
          <w:tcPr>
            <w:tcW w:type="dxa" w:w="2880"/>
            <w:vAlign w:val="top"/>
            <w:tcBorders>
              <w:bottom w:val="single" w:sz="4" w:color="D8E4EF"/>
            </w:tcBorders>
          </w:tcPr>
          <w:p>
            <w:r>
              <w:t>Completed</w:t>
            </w:r>
          </w:p>
        </w:tc>
        <w:tc>
          <w:tcPr>
            <w:tcW w:type="dxa" w:w="6768"/>
            <w:vAlign w:val="top"/>
            <w:tcBorders>
              <w:bottom w:val="single" w:sz="4" w:color="D8E4EF"/>
            </w:tcBorders>
          </w:tcPr>
          <w:p>
            <w:r>
              <w:t>What shipped or reached an approved milestone.</w:t>
            </w:r>
          </w:p>
        </w:tc>
      </w:tr>
      <w:tr>
        <w:trPr>
          <w:cantSplit w:val="true"/>
        </w:trPr>
        <w:tc>
          <w:tcPr>
            <w:tcW w:type="dxa" w:w="2880"/>
            <w:vAlign w:val="top"/>
            <w:tcBorders>
              <w:bottom w:val="single" w:sz="4" w:color="D8E4EF"/>
            </w:tcBorders>
          </w:tcPr>
          <w:p>
            <w:r>
              <w:t>In Progress</w:t>
            </w:r>
          </w:p>
        </w:tc>
        <w:tc>
          <w:tcPr>
            <w:tcW w:type="dxa" w:w="6768"/>
            <w:vAlign w:val="top"/>
            <w:tcBorders>
              <w:bottom w:val="single" w:sz="4" w:color="D8E4EF"/>
            </w:tcBorders>
          </w:tcPr>
          <w:p>
            <w:r>
              <w:t>Active tasks and expected next checkpoint.</w:t>
            </w:r>
          </w:p>
        </w:tc>
      </w:tr>
      <w:tr>
        <w:trPr>
          <w:cantSplit w:val="true"/>
        </w:trPr>
        <w:tc>
          <w:tcPr>
            <w:tcW w:type="dxa" w:w="2880"/>
            <w:vAlign w:val="top"/>
            <w:tcBorders>
              <w:bottom w:val="single" w:sz="4" w:color="D8E4EF"/>
            </w:tcBorders>
          </w:tcPr>
          <w:p>
            <w:r>
              <w:t>Blocked</w:t>
            </w:r>
          </w:p>
        </w:tc>
        <w:tc>
          <w:tcPr>
            <w:tcW w:type="dxa" w:w="6768"/>
            <w:vAlign w:val="top"/>
            <w:tcBorders>
              <w:bottom w:val="single" w:sz="4" w:color="D8E4EF"/>
            </w:tcBorders>
          </w:tcPr>
          <w:p>
            <w:r>
              <w:t>Technical, vendor, design or dependency blockers.</w:t>
            </w:r>
          </w:p>
        </w:tc>
      </w:tr>
      <w:tr>
        <w:trPr>
          <w:cantSplit w:val="true"/>
        </w:trPr>
        <w:tc>
          <w:tcPr>
            <w:tcW w:type="dxa" w:w="2880"/>
            <w:vAlign w:val="top"/>
            <w:tcBorders>
              <w:bottom w:val="single" w:sz="4" w:color="D8E4EF"/>
            </w:tcBorders>
          </w:tcPr>
          <w:p>
            <w:r>
              <w:t>Founder Decision Needed</w:t>
            </w:r>
          </w:p>
        </w:tc>
        <w:tc>
          <w:tcPr>
            <w:tcW w:type="dxa" w:w="6768"/>
            <w:vAlign w:val="top"/>
            <w:tcBorders>
              <w:bottom w:val="single" w:sz="4" w:color="D8E4EF"/>
            </w:tcBorders>
          </w:tcPr>
          <w:p>
            <w:r>
              <w:t>Decisions that cannot be made inside implementation authority.</w:t>
            </w:r>
          </w:p>
        </w:tc>
      </w:tr>
      <w:tr>
        <w:trPr>
          <w:cantSplit w:val="true"/>
        </w:trPr>
        <w:tc>
          <w:tcPr>
            <w:tcW w:type="dxa" w:w="2880"/>
            <w:vAlign w:val="top"/>
            <w:tcBorders>
              <w:bottom w:val="single" w:sz="4" w:color="D8E4EF"/>
            </w:tcBorders>
          </w:tcPr>
          <w:p>
            <w:r>
              <w:t>Next Week</w:t>
            </w:r>
          </w:p>
        </w:tc>
        <w:tc>
          <w:tcPr>
            <w:tcW w:type="dxa" w:w="6768"/>
            <w:vAlign w:val="top"/>
            <w:tcBorders>
              <w:bottom w:val="single" w:sz="4" w:color="D8E4EF"/>
            </w:tcBorders>
          </w:tcPr>
          <w:p>
            <w:r>
              <w:t>Planned deliverables.</w:t>
            </w:r>
          </w:p>
        </w:tc>
      </w:tr>
      <w:tr>
        <w:trPr>
          <w:cantSplit w:val="true"/>
        </w:trPr>
        <w:tc>
          <w:tcPr>
            <w:tcW w:type="dxa" w:w="2880"/>
            <w:vAlign w:val="top"/>
            <w:tcBorders>
              <w:bottom w:val="single" w:sz="4" w:color="D8E4EF"/>
            </w:tcBorders>
          </w:tcPr>
          <w:p>
            <w:r>
              <w:t>Claude Used For</w:t>
            </w:r>
          </w:p>
        </w:tc>
        <w:tc>
          <w:tcPr>
            <w:tcW w:type="dxa" w:w="6768"/>
            <w:vAlign w:val="top"/>
            <w:tcBorders>
              <w:bottom w:val="single" w:sz="4" w:color="D8E4EF"/>
            </w:tcBorders>
          </w:tcPr>
          <w:p>
            <w:r>
              <w:t>Where AI accelerated work and what was reviewed by humans.</w:t>
            </w:r>
          </w:p>
        </w:tc>
      </w:tr>
      <w:tr>
        <w:trPr>
          <w:cantSplit w:val="true"/>
        </w:trPr>
        <w:tc>
          <w:tcPr>
            <w:tcW w:type="dxa" w:w="2880"/>
            <w:vAlign w:val="top"/>
            <w:tcBorders>
              <w:bottom w:val="single" w:sz="4" w:color="D8E4EF"/>
            </w:tcBorders>
          </w:tcPr>
          <w:p>
            <w:r>
              <w:t>Technical Risk</w:t>
            </w:r>
          </w:p>
        </w:tc>
        <w:tc>
          <w:tcPr>
            <w:tcW w:type="dxa" w:w="6768"/>
            <w:vAlign w:val="top"/>
            <w:tcBorders>
              <w:bottom w:val="single" w:sz="4" w:color="D8E4EF"/>
            </w:tcBorders>
          </w:tcPr>
          <w:p>
            <w:r>
              <w:t>Architecture/security/performance risks that need attention.</w:t>
            </w:r>
          </w:p>
        </w:tc>
      </w:tr>
    </w:tbl>
    <w:p/>
    <w:p>
      <w:pPr>
        <w:pStyle w:val="Heading2"/>
        <w:keepNext/>
      </w:pPr>
      <w:r>
        <w:t>End-of-day team handoff</w:t>
      </w:r>
    </w:p>
    <w:p>
      <w:pPr>
        <w:pStyle w:val="ListBullet"/>
        <w:spacing w:after="80"/>
      </w:pPr>
      <w:r>
        <w:t>Completed</w:t>
      </w:r>
    </w:p>
    <w:p>
      <w:pPr>
        <w:pStyle w:val="ListBullet"/>
        <w:spacing w:after="80"/>
      </w:pPr>
      <w:r>
        <w:t>Pending</w:t>
      </w:r>
    </w:p>
    <w:p>
      <w:pPr>
        <w:pStyle w:val="ListBullet"/>
        <w:spacing w:after="80"/>
      </w:pPr>
      <w:r>
        <w:t>Known bugs</w:t>
      </w:r>
    </w:p>
    <w:p>
      <w:pPr>
        <w:pStyle w:val="ListBullet"/>
        <w:spacing w:after="80"/>
      </w:pPr>
      <w:r>
        <w:t>Decisions needed</w:t>
      </w:r>
    </w:p>
    <w:p>
      <w:pPr>
        <w:pStyle w:val="ListBullet"/>
        <w:spacing w:after="80"/>
      </w:pPr>
      <w:r>
        <w:t>Branch/commit reference</w:t>
      </w:r>
    </w:p>
    <w:p>
      <w:pPr>
        <w:pStyle w:val="ListBullet"/>
        <w:spacing w:after="80"/>
      </w:pPr>
      <w:r>
        <w:t>Screenshots or test evidence</w:t>
      </w:r>
    </w:p>
    <w:p>
      <w:pPr>
        <w:pStyle w:val="Heading1"/>
        <w:keepNext/>
      </w:pPr>
      <w:r>
        <w:t>23. Change Control</w:t>
      </w:r>
    </w:p>
    <w:p>
      <w:pPr>
        <w:pStyle w:val="BodyText"/>
      </w:pPr>
      <w:r>
        <w:rPr>
          <w:i w:val="0"/>
        </w:rPr>
        <w:t>The v1.0 baseline should be stable. New ideas enter through controlled change rather than silently mutating the product.</w:t>
      </w:r>
    </w:p>
    <w:p>
      <w:pPr>
        <w:pStyle w:val="Heading2"/>
        <w:keepNext/>
      </w:pPr>
      <w:r>
        <w:t>Change Request format</w:t>
      </w:r>
    </w:p>
    <w:tbl>
      <w:tblPr>
        <w:tblW w:type="auto" w:w="0"/>
        <w:jc w:val="center"/>
        <w:tblLayout w:type="fixed"/>
        <w:tblLook w:firstColumn="1" w:firstRow="1" w:lastColumn="0" w:lastRow="0" w:noHBand="0" w:noVBand="1" w:val="04A0"/>
      </w:tblPr>
      <w:tblGrid>
        <w:gridCol w:w="2880"/>
        <w:gridCol w:w="6768"/>
      </w:tblGrid>
      <w:tr>
        <w:trPr>
          <w:tblHeader w:val="true"/>
          <w:cantSplit w:val="true"/>
        </w:trPr>
        <w:tc>
          <w:tcPr>
            <w:tcW w:type="dxa" w:w="4917"/>
            <w:shd w:fill="0B1B2D"/>
            <w:vAlign w:val="center"/>
          </w:tcPr>
          <w:p>
            <w:r>
              <w:rPr>
                <w:b/>
                <w:color w:val="FFFFFF"/>
              </w:rPr>
              <w:t>Field</w:t>
            </w:r>
          </w:p>
        </w:tc>
        <w:tc>
          <w:tcPr>
            <w:tcW w:type="dxa" w:w="4917"/>
            <w:shd w:fill="0B1B2D"/>
            <w:vAlign w:val="center"/>
          </w:tcPr>
          <w:p>
            <w:r>
              <w:rPr>
                <w:b/>
                <w:color w:val="FFFFFF"/>
              </w:rPr>
              <w:t>Required Detail</w:t>
            </w:r>
          </w:p>
        </w:tc>
      </w:tr>
      <w:tr>
        <w:trPr>
          <w:cantSplit w:val="true"/>
        </w:trPr>
        <w:tc>
          <w:tcPr>
            <w:tcW w:type="dxa" w:w="2880"/>
            <w:vAlign w:val="top"/>
            <w:tcBorders>
              <w:bottom w:val="single" w:sz="4" w:color="D8E4EF"/>
            </w:tcBorders>
          </w:tcPr>
          <w:p>
            <w:r>
              <w:t>Problem</w:t>
            </w:r>
          </w:p>
        </w:tc>
        <w:tc>
          <w:tcPr>
            <w:tcW w:type="dxa" w:w="6768"/>
            <w:vAlign w:val="top"/>
            <w:tcBorders>
              <w:bottom w:val="single" w:sz="4" w:color="D8E4EF"/>
            </w:tcBorders>
          </w:tcPr>
          <w:p>
            <w:r>
              <w:t>What user/business/technical problem is being solved?</w:t>
            </w:r>
          </w:p>
        </w:tc>
      </w:tr>
      <w:tr>
        <w:trPr>
          <w:cantSplit w:val="true"/>
        </w:trPr>
        <w:tc>
          <w:tcPr>
            <w:tcW w:type="dxa" w:w="2880"/>
            <w:vAlign w:val="top"/>
            <w:tcBorders>
              <w:bottom w:val="single" w:sz="4" w:color="D8E4EF"/>
            </w:tcBorders>
          </w:tcPr>
          <w:p>
            <w:r>
              <w:t>Proposed Change</w:t>
            </w:r>
          </w:p>
        </w:tc>
        <w:tc>
          <w:tcPr>
            <w:tcW w:type="dxa" w:w="6768"/>
            <w:vAlign w:val="top"/>
            <w:tcBorders>
              <w:bottom w:val="single" w:sz="4" w:color="D8E4EF"/>
            </w:tcBorders>
          </w:tcPr>
          <w:p>
            <w:r>
              <w:t>What exactly changes?</w:t>
            </w:r>
          </w:p>
        </w:tc>
      </w:tr>
      <w:tr>
        <w:trPr>
          <w:cantSplit w:val="true"/>
        </w:trPr>
        <w:tc>
          <w:tcPr>
            <w:tcW w:type="dxa" w:w="2880"/>
            <w:vAlign w:val="top"/>
            <w:tcBorders>
              <w:bottom w:val="single" w:sz="4" w:color="D8E4EF"/>
            </w:tcBorders>
          </w:tcPr>
          <w:p>
            <w:r>
              <w:t>Why Now</w:t>
            </w:r>
          </w:p>
        </w:tc>
        <w:tc>
          <w:tcPr>
            <w:tcW w:type="dxa" w:w="6768"/>
            <w:vAlign w:val="top"/>
            <w:tcBorders>
              <w:bottom w:val="single" w:sz="4" w:color="D8E4EF"/>
            </w:tcBorders>
          </w:tcPr>
          <w:p>
            <w:r>
              <w:t>Why is it needed in this phase?</w:t>
            </w:r>
          </w:p>
        </w:tc>
      </w:tr>
      <w:tr>
        <w:trPr>
          <w:cantSplit w:val="true"/>
        </w:trPr>
        <w:tc>
          <w:tcPr>
            <w:tcW w:type="dxa" w:w="2880"/>
            <w:vAlign w:val="top"/>
            <w:tcBorders>
              <w:bottom w:val="single" w:sz="4" w:color="D8E4EF"/>
            </w:tcBorders>
          </w:tcPr>
          <w:p>
            <w:r>
              <w:t>Architecture Impact</w:t>
            </w:r>
          </w:p>
        </w:tc>
        <w:tc>
          <w:tcPr>
            <w:tcW w:type="dxa" w:w="6768"/>
            <w:vAlign w:val="top"/>
            <w:tcBorders>
              <w:bottom w:val="single" w:sz="4" w:color="D8E4EF"/>
            </w:tcBorders>
          </w:tcPr>
          <w:p>
            <w:r>
              <w:t>Which services, data, money flow or permissions change?</w:t>
            </w:r>
          </w:p>
        </w:tc>
      </w:tr>
      <w:tr>
        <w:trPr>
          <w:cantSplit w:val="true"/>
        </w:trPr>
        <w:tc>
          <w:tcPr>
            <w:tcW w:type="dxa" w:w="2880"/>
            <w:vAlign w:val="top"/>
            <w:tcBorders>
              <w:bottom w:val="single" w:sz="4" w:color="D8E4EF"/>
            </w:tcBorders>
          </w:tcPr>
          <w:p>
            <w:r>
              <w:t>Risk Impact</w:t>
            </w:r>
          </w:p>
        </w:tc>
        <w:tc>
          <w:tcPr>
            <w:tcW w:type="dxa" w:w="6768"/>
            <w:vAlign w:val="top"/>
            <w:tcBorders>
              <w:bottom w:val="single" w:sz="4" w:color="D8E4EF"/>
            </w:tcBorders>
          </w:tcPr>
          <w:p>
            <w:r>
              <w:t>What new trading/custody/security risk appears?</w:t>
            </w:r>
          </w:p>
        </w:tc>
      </w:tr>
      <w:tr>
        <w:trPr>
          <w:cantSplit w:val="true"/>
        </w:trPr>
        <w:tc>
          <w:tcPr>
            <w:tcW w:type="dxa" w:w="2880"/>
            <w:vAlign w:val="top"/>
            <w:tcBorders>
              <w:bottom w:val="single" w:sz="4" w:color="D8E4EF"/>
            </w:tcBorders>
          </w:tcPr>
          <w:p>
            <w:r>
              <w:t>UX Impact</w:t>
            </w:r>
          </w:p>
        </w:tc>
        <w:tc>
          <w:tcPr>
            <w:tcW w:type="dxa" w:w="6768"/>
            <w:vAlign w:val="top"/>
            <w:tcBorders>
              <w:bottom w:val="single" w:sz="4" w:color="D8E4EF"/>
            </w:tcBorders>
          </w:tcPr>
          <w:p>
            <w:r>
              <w:t>What user behavior or screen changes?</w:t>
            </w:r>
          </w:p>
        </w:tc>
      </w:tr>
      <w:tr>
        <w:trPr>
          <w:cantSplit w:val="true"/>
        </w:trPr>
        <w:tc>
          <w:tcPr>
            <w:tcW w:type="dxa" w:w="2880"/>
            <w:vAlign w:val="top"/>
            <w:tcBorders>
              <w:bottom w:val="single" w:sz="4" w:color="D8E4EF"/>
            </w:tcBorders>
          </w:tcPr>
          <w:p>
            <w:r>
              <w:t>Dependencies</w:t>
            </w:r>
          </w:p>
        </w:tc>
        <w:tc>
          <w:tcPr>
            <w:tcW w:type="dxa" w:w="6768"/>
            <w:vAlign w:val="top"/>
            <w:tcBorders>
              <w:bottom w:val="single" w:sz="4" w:color="D8E4EF"/>
            </w:tcBorders>
          </w:tcPr>
          <w:p>
            <w:r>
              <w:t>What vendors/teams/systems are affected?</w:t>
            </w:r>
          </w:p>
        </w:tc>
      </w:tr>
      <w:tr>
        <w:trPr>
          <w:cantSplit w:val="true"/>
        </w:trPr>
        <w:tc>
          <w:tcPr>
            <w:tcW w:type="dxa" w:w="2880"/>
            <w:vAlign w:val="top"/>
            <w:tcBorders>
              <w:bottom w:val="single" w:sz="4" w:color="D8E4EF"/>
            </w:tcBorders>
          </w:tcPr>
          <w:p>
            <w:r>
              <w:t>Decision</w:t>
            </w:r>
          </w:p>
        </w:tc>
        <w:tc>
          <w:tcPr>
            <w:tcW w:type="dxa" w:w="6768"/>
            <w:vAlign w:val="top"/>
            <w:tcBorders>
              <w:bottom w:val="single" w:sz="4" w:color="D8E4EF"/>
            </w:tcBorders>
          </w:tcPr>
          <w:p>
            <w:r>
              <w:t>Approve / Defer / Reject / Research Further.</w:t>
            </w:r>
          </w:p>
        </w:tc>
      </w:tr>
    </w:tbl>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D7A53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BASELINE PROTECTION</w:t>
            </w:r>
          </w:p>
          <w:p>
            <w:pPr>
              <w:pStyle w:val="BodyText"/>
              <w:spacing w:after="80"/>
            </w:pPr>
            <w:r>
              <w:t>Research findings may improve implementation, but they do not automatically become product requirements. Material product changes require explicit approval.</w:t>
            </w:r>
          </w:p>
        </w:tc>
      </w:tr>
    </w:tbl>
    <w:p>
      <w:pPr>
        <w:spacing w:after="20"/>
      </w:pPr>
    </w:p>
    <w:p>
      <w:pPr>
        <w:pStyle w:val="Heading1"/>
        <w:keepNext/>
      </w:pPr>
      <w:r>
        <w:t>24. First 30-Day Execution Plan</w:t>
      </w:r>
    </w:p>
    <w:p>
      <w:pPr>
        <w:pStyle w:val="Heading2"/>
        <w:keepNext/>
      </w:pPr>
      <w:r>
        <w:t>Week 1 — Freeze the foundation</w:t>
      </w:r>
    </w:p>
    <w:p>
      <w:pPr>
        <w:pStyle w:val="ListBullet"/>
        <w:spacing w:after="80"/>
      </w:pPr>
      <w:r>
        <w:t>Confirm repo and environments</w:t>
      </w:r>
    </w:p>
    <w:p>
      <w:pPr>
        <w:pStyle w:val="ListBullet"/>
        <w:spacing w:after="80"/>
      </w:pPr>
      <w:r>
        <w:t>Create all master docs</w:t>
      </w:r>
    </w:p>
    <w:p>
      <w:pPr>
        <w:pStyle w:val="ListBullet"/>
        <w:spacing w:after="80"/>
      </w:pPr>
      <w:r>
        <w:t>Freeze design tokens and component system</w:t>
      </w:r>
    </w:p>
    <w:p>
      <w:pPr>
        <w:pStyle w:val="ListBullet"/>
        <w:spacing w:after="80"/>
      </w:pPr>
      <w:r>
        <w:t>Finalize architecture diagrams</w:t>
      </w:r>
    </w:p>
    <w:p>
      <w:pPr>
        <w:pStyle w:val="ListBullet"/>
        <w:spacing w:after="80"/>
      </w:pPr>
      <w:r>
        <w:t>Create feature backlog mapped to phases</w:t>
      </w:r>
    </w:p>
    <w:p>
      <w:pPr>
        <w:pStyle w:val="ListBullet"/>
        <w:spacing w:after="80"/>
      </w:pPr>
      <w:r>
        <w:t>Define acceptance criteria for MVP modules</w:t>
      </w:r>
    </w:p>
    <w:p>
      <w:pPr>
        <w:pStyle w:val="Heading2"/>
        <w:keepNext/>
      </w:pPr>
      <w:r>
        <w:t>Week 2 — Capital + broker core specification</w:t>
      </w:r>
    </w:p>
    <w:p>
      <w:pPr>
        <w:pStyle w:val="ListBullet"/>
        <w:spacing w:after="80"/>
      </w:pPr>
      <w:r>
        <w:t>Account model</w:t>
      </w:r>
    </w:p>
    <w:p>
      <w:pPr>
        <w:pStyle w:val="ListBullet"/>
        <w:spacing w:after="80"/>
      </w:pPr>
      <w:r>
        <w:t>Wallet/deposit flow</w:t>
      </w:r>
    </w:p>
    <w:p>
      <w:pPr>
        <w:pStyle w:val="ListBullet"/>
        <w:spacing w:after="80"/>
      </w:pPr>
      <w:r>
        <w:t>Ledger schema</w:t>
      </w:r>
    </w:p>
    <w:p>
      <w:pPr>
        <w:pStyle w:val="ListBullet"/>
        <w:spacing w:after="80"/>
      </w:pPr>
      <w:r>
        <w:t>Trading account mapping</w:t>
      </w:r>
    </w:p>
    <w:p>
      <w:pPr>
        <w:pStyle w:val="ListBullet"/>
        <w:spacing w:after="80"/>
      </w:pPr>
      <w:r>
        <w:t>MT5 integration contract</w:t>
      </w:r>
    </w:p>
    <w:p>
      <w:pPr>
        <w:pStyle w:val="ListBullet"/>
        <w:spacing w:after="80"/>
      </w:pPr>
      <w:r>
        <w:t>Withdrawal flow</w:t>
      </w:r>
    </w:p>
    <w:p>
      <w:pPr>
        <w:pStyle w:val="ListBullet"/>
        <w:spacing w:after="80"/>
      </w:pPr>
      <w:r>
        <w:t>Reconciliation model</w:t>
      </w:r>
    </w:p>
    <w:p>
      <w:pPr>
        <w:pStyle w:val="ListBullet"/>
        <w:spacing w:after="80"/>
      </w:pPr>
      <w:r>
        <w:t>Audit log requirements</w:t>
      </w:r>
    </w:p>
    <w:p>
      <w:pPr>
        <w:pStyle w:val="Heading2"/>
        <w:keepNext/>
      </w:pPr>
      <w:r>
        <w:t>Week 3 — UX + trading modes</w:t>
      </w:r>
    </w:p>
    <w:p>
      <w:pPr>
        <w:pStyle w:val="ListBullet"/>
        <w:spacing w:after="80"/>
      </w:pPr>
      <w:r>
        <w:t>Landing-page v1.2 implementation</w:t>
      </w:r>
    </w:p>
    <w:p>
      <w:pPr>
        <w:pStyle w:val="ListBullet"/>
        <w:spacing w:after="80"/>
      </w:pPr>
      <w:r>
        <w:t>Client dashboard shell</w:t>
      </w:r>
    </w:p>
    <w:p>
      <w:pPr>
        <w:pStyle w:val="ListBullet"/>
        <w:spacing w:after="80"/>
      </w:pPr>
      <w:r>
        <w:t>Capital allocation UI</w:t>
      </w:r>
    </w:p>
    <w:p>
      <w:pPr>
        <w:pStyle w:val="ListBullet"/>
        <w:spacing w:after="80"/>
      </w:pPr>
      <w:r>
        <w:t>Manual trading entry points</w:t>
      </w:r>
    </w:p>
    <w:p>
      <w:pPr>
        <w:pStyle w:val="ListBullet"/>
        <w:spacing w:after="80"/>
      </w:pPr>
      <w:r>
        <w:t>Copy Trading product screens</w:t>
      </w:r>
    </w:p>
    <w:p>
      <w:pPr>
        <w:pStyle w:val="ListBullet"/>
        <w:spacing w:after="80"/>
      </w:pPr>
      <w:r>
        <w:t>Bot permission model</w:t>
      </w:r>
    </w:p>
    <w:p>
      <w:pPr>
        <w:pStyle w:val="ListBullet"/>
        <w:spacing w:after="80"/>
      </w:pPr>
      <w:r>
        <w:t>Risk profile screens</w:t>
      </w:r>
    </w:p>
    <w:p>
      <w:pPr>
        <w:pStyle w:val="Heading2"/>
        <w:keepNext/>
      </w:pPr>
      <w:r>
        <w:t>Week 4 — ELVA Intelligence MVP specification</w:t>
      </w:r>
    </w:p>
    <w:p>
      <w:pPr>
        <w:pStyle w:val="ListBullet"/>
        <w:spacing w:after="80"/>
      </w:pPr>
      <w:r>
        <w:t>AI Copilot UI</w:t>
      </w:r>
    </w:p>
    <w:p>
      <w:pPr>
        <w:pStyle w:val="ListBullet"/>
        <w:spacing w:after="80"/>
      </w:pPr>
      <w:r>
        <w:t>Market Scanner contract</w:t>
      </w:r>
    </w:p>
    <w:p>
      <w:pPr>
        <w:pStyle w:val="ListBullet"/>
        <w:spacing w:after="80"/>
      </w:pPr>
      <w:r>
        <w:t>Strategy object/schema</w:t>
      </w:r>
    </w:p>
    <w:p>
      <w:pPr>
        <w:pStyle w:val="ListBullet"/>
        <w:spacing w:after="80"/>
      </w:pPr>
      <w:r>
        <w:t>Challenge / invalidation output</w:t>
      </w:r>
    </w:p>
    <w:p>
      <w:pPr>
        <w:pStyle w:val="ListBullet"/>
        <w:spacing w:after="80"/>
      </w:pPr>
      <w:r>
        <w:t>Risk Engine interface</w:t>
      </w:r>
    </w:p>
    <w:p>
      <w:pPr>
        <w:pStyle w:val="ListBullet"/>
        <w:spacing w:after="80"/>
      </w:pPr>
      <w:r>
        <w:t>Confirm-mode execution flow</w:t>
      </w:r>
    </w:p>
    <w:p>
      <w:pPr>
        <w:pStyle w:val="ListBullet"/>
        <w:spacing w:after="80"/>
      </w:pPr>
      <w:r>
        <w:t>Monitoring state</w:t>
      </w:r>
    </w:p>
    <w:p>
      <w:pPr>
        <w:pStyle w:val="ListBullet"/>
        <w:spacing w:after="80"/>
      </w:pPr>
      <w:r>
        <w:t>Post-trade review</w:t>
      </w:r>
    </w:p>
    <w:p>
      <w:pPr>
        <w:pStyle w:val="ListBullet"/>
        <w:spacing w:after="80"/>
      </w:pPr>
      <w:r>
        <w:t>Copy/Bot analyzer interface</w:t>
      </w:r>
    </w:p>
    <w:p>
      <w:pPr>
        <w:pStyle w:val="Heading2"/>
        <w:keepNext/>
      </w:pPr>
      <w:r>
        <w:t>30-day exit criteria</w:t>
      </w:r>
    </w:p>
    <w:p>
      <w:pPr>
        <w:pStyle w:val="ListBullet"/>
        <w:spacing w:after="80"/>
      </w:pPr>
      <w:r>
        <w:t>Architecture and data ownership are unambiguous</w:t>
      </w:r>
    </w:p>
    <w:p>
      <w:pPr>
        <w:pStyle w:val="ListBullet"/>
        <w:spacing w:after="80"/>
      </w:pPr>
      <w:r>
        <w:t>MVP scope is frozen</w:t>
      </w:r>
    </w:p>
    <w:p>
      <w:pPr>
        <w:pStyle w:val="ListBullet"/>
        <w:spacing w:after="80"/>
      </w:pPr>
      <w:r>
        <w:t>Core user journeys are designed</w:t>
      </w:r>
    </w:p>
    <w:p>
      <w:pPr>
        <w:pStyle w:val="ListBullet"/>
        <w:spacing w:after="80"/>
      </w:pPr>
      <w:r>
        <w:t>API contracts exist for critical services</w:t>
      </w:r>
    </w:p>
    <w:p>
      <w:pPr>
        <w:pStyle w:val="ListBullet"/>
        <w:spacing w:after="80"/>
      </w:pPr>
      <w:r>
        <w:t>Risk/custody boundaries are documented</w:t>
      </w:r>
    </w:p>
    <w:p>
      <w:pPr>
        <w:pStyle w:val="ListBullet"/>
        <w:spacing w:after="80"/>
      </w:pPr>
      <w:r>
        <w:t>Team backlog is estimated and assigned</w:t>
      </w:r>
    </w:p>
    <w:p>
      <w:pPr>
        <w:pStyle w:val="ListBullet"/>
        <w:spacing w:after="80"/>
      </w:pPr>
      <w:r>
        <w:t>Claude workflow is standardized</w:t>
      </w:r>
    </w:p>
    <w:p>
      <w:pPr>
        <w:pStyle w:val="ListBullet"/>
        <w:spacing w:after="80"/>
      </w:pPr>
      <w:r>
        <w:t>No critical product rule lives only in chat history</w:t>
      </w:r>
    </w:p>
    <w:p>
      <w:pPr>
        <w:pStyle w:val="Heading1"/>
        <w:keepNext/>
      </w:pPr>
      <w:r>
        <w:t>25. Definition of Done</w:t>
      </w:r>
    </w:p>
    <w:p>
      <w:pPr>
        <w:pStyle w:val="BodyText"/>
      </w:pPr>
      <w:r>
        <w:rPr>
          <w:i w:val="0"/>
        </w:rPr>
        <w:t>Every production feature should meet all applicable conditions below.</w:t>
      </w:r>
    </w:p>
    <w:p>
      <w:pPr>
        <w:pStyle w:val="ListBullet"/>
        <w:spacing w:after="80"/>
      </w:pPr>
      <w:r>
        <w:t>Product requirement implemented exactly</w:t>
      </w:r>
    </w:p>
    <w:p>
      <w:pPr>
        <w:pStyle w:val="ListBullet"/>
        <w:spacing w:after="80"/>
      </w:pPr>
      <w:r>
        <w:t>Approved UX preserved</w:t>
      </w:r>
    </w:p>
    <w:p>
      <w:pPr>
        <w:pStyle w:val="ListBullet"/>
        <w:spacing w:after="80"/>
      </w:pPr>
      <w:r>
        <w:t>Responsive on required breakpoints</w:t>
      </w:r>
    </w:p>
    <w:p>
      <w:pPr>
        <w:pStyle w:val="ListBullet"/>
        <w:spacing w:after="80"/>
      </w:pPr>
      <w:r>
        <w:t>No fabricated claims/data</w:t>
      </w:r>
    </w:p>
    <w:p>
      <w:pPr>
        <w:pStyle w:val="ListBullet"/>
        <w:spacing w:after="80"/>
      </w:pPr>
      <w:r>
        <w:t>Permissions enforced server-side where required</w:t>
      </w:r>
    </w:p>
    <w:p>
      <w:pPr>
        <w:pStyle w:val="ListBullet"/>
        <w:spacing w:after="80"/>
      </w:pPr>
      <w:r>
        <w:t>Risk rules tested</w:t>
      </w:r>
    </w:p>
    <w:p>
      <w:pPr>
        <w:pStyle w:val="ListBullet"/>
        <w:spacing w:after="80"/>
      </w:pPr>
      <w:r>
        <w:t>Ledger/data changes reconciled</w:t>
      </w:r>
    </w:p>
    <w:p>
      <w:pPr>
        <w:pStyle w:val="ListBullet"/>
        <w:spacing w:after="80"/>
      </w:pPr>
      <w:r>
        <w:t>Sensitive actions audited</w:t>
      </w:r>
    </w:p>
    <w:p>
      <w:pPr>
        <w:pStyle w:val="ListBullet"/>
        <w:spacing w:after="80"/>
      </w:pPr>
      <w:r>
        <w:t>Error/empty/loading states handled</w:t>
      </w:r>
    </w:p>
    <w:p>
      <w:pPr>
        <w:pStyle w:val="ListBullet"/>
        <w:spacing w:after="80"/>
      </w:pPr>
      <w:r>
        <w:t>Unit/integration tests where appropriate</w:t>
      </w:r>
    </w:p>
    <w:p>
      <w:pPr>
        <w:pStyle w:val="ListBullet"/>
        <w:spacing w:after="80"/>
      </w:pPr>
      <w:r>
        <w:t>Manual QA completed</w:t>
      </w:r>
    </w:p>
    <w:p>
      <w:pPr>
        <w:pStyle w:val="ListBullet"/>
        <w:spacing w:after="80"/>
      </w:pPr>
      <w:r>
        <w:t>Documentation/CHANGELOG updated</w:t>
      </w:r>
    </w:p>
    <w:p>
      <w:pPr>
        <w:pStyle w:val="ListBullet"/>
        <w:spacing w:after="80"/>
      </w:pPr>
      <w:r>
        <w:t>Code reviewed</w:t>
      </w:r>
    </w:p>
    <w:p>
      <w:pPr>
        <w:pStyle w:val="ListBullet"/>
        <w:spacing w:after="80"/>
      </w:pPr>
      <w:r>
        <w:t>Founder approval obtained when required</w:t>
      </w:r>
    </w:p>
    <w:p>
      <w:pPr>
        <w:pStyle w:val="Heading1"/>
        <w:keepNext/>
      </w:pPr>
      <w:r>
        <w:t>26. Golden Rules</w:t>
      </w: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98C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AI suggests. Risk Engine validates. User controls. Execution Engine executes.</w:t>
            </w:r>
          </w:p>
        </w:tc>
      </w:tr>
    </w:tbl>
    <w:p>
      <w:pPr>
        <w:spacing w:after="20"/>
      </w:pP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8D7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Funds can move on-chain. Trading executes at market speed.</w:t>
            </w:r>
          </w:p>
        </w:tc>
      </w:tr>
    </w:tbl>
    <w:p>
      <w:pPr>
        <w:spacing w:after="20"/>
      </w:pP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6B784"/>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The internal ledger is the accounting source-of-truth for consolidated obligations.</w:t>
            </w:r>
          </w:p>
        </w:tc>
      </w:tr>
    </w:tbl>
    <w:p>
      <w:pPr>
        <w:spacing w:after="20"/>
      </w:pP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D7A53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A bot can trade. A bot can never withdraw.</w:t>
            </w:r>
          </w:p>
        </w:tc>
      </w:tr>
    </w:tbl>
    <w:p>
      <w:pPr>
        <w:spacing w:after="20"/>
      </w:pP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E4545A"/>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AI never controls custody.</w:t>
            </w:r>
          </w:p>
        </w:tc>
      </w:tr>
    </w:tbl>
    <w:p>
      <w:pPr>
        <w:spacing w:after="20"/>
      </w:pP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0B1B2D"/>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Do not guess when product logic is unclear — document and escalate.</w:t>
            </w:r>
          </w:p>
        </w:tc>
      </w:tr>
    </w:tbl>
    <w:p>
      <w:pPr>
        <w:spacing w:after="20"/>
      </w:pP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98C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Claude accelerates implementation; it does not redefine the product.</w:t>
            </w:r>
          </w:p>
        </w:tc>
      </w:tr>
    </w:tbl>
    <w:p>
      <w:pPr>
        <w:spacing w:after="20"/>
      </w:pPr>
    </w:p>
    <w:tbl>
      <w:tblPr>
        <w:tblW w:type="auto" w:w="0"/>
        <w:jc w:val="center"/>
        <w:tblLayout w:type="fixed"/>
        <w:tblLook w:firstColumn="1" w:firstRow="1" w:lastColumn="0" w:lastRow="0" w:noHBand="0" w:noVBand="1" w:val="04A0"/>
      </w:tblPr>
      <w:tblGrid>
        <w:gridCol w:w="202"/>
        <w:gridCol w:w="9504"/>
      </w:tblGrid>
      <w:tr>
        <w:trPr>
          <w:cantSplit w:val="true"/>
        </w:trPr>
        <w:tc>
          <w:tcPr>
            <w:tcW w:type="dxa" w:w="4917"/>
            <w:shd w:fill="18D7FF"/>
            <w:tcBorders>
              <w:top w:val="single" w:sz="4" w:color="D8E4EF"/>
              <w:left w:val="single" w:sz="4" w:color="D8E4EF"/>
              <w:bottom w:val="single" w:sz="4" w:color="D8E4EF"/>
              <w:right w:val="single" w:sz="4" w:color="D8E4EF"/>
            </w:tcBorders>
          </w:tcPr>
          <w:p>
            <w:r/>
          </w:p>
        </w:tc>
        <w:tc>
          <w:tcPr>
            <w:tcW w:type="dxa" w:w="4917"/>
            <w:shd w:fill="F4F8FC"/>
            <w:tcBorders>
              <w:top w:val="single" w:sz="4" w:color="D8E4EF"/>
              <w:left w:val="single" w:sz="4" w:color="D8E4EF"/>
              <w:bottom w:val="single" w:sz="4" w:color="D8E4EF"/>
              <w:right w:val="single" w:sz="4" w:color="D8E4EF"/>
            </w:tcBorders>
          </w:tcPr>
          <w:p>
            <w:pPr>
              <w:spacing w:after="40"/>
            </w:pPr>
            <w:r>
              <w:rPr>
                <w:b/>
                <w:color w:val="07111F"/>
                <w:sz w:val="21"/>
              </w:rPr>
              <w:t>LOCKED RULE</w:t>
            </w:r>
          </w:p>
          <w:p>
            <w:pPr>
              <w:pStyle w:val="BodyText"/>
              <w:spacing w:after="80"/>
            </w:pPr>
            <w:r>
              <w:t>Build the platform so ELVA can evolve from broker product to trading infrastructure.</w:t>
            </w:r>
          </w:p>
        </w:tc>
      </w:tr>
    </w:tbl>
    <w:p>
      <w:pPr>
        <w:spacing w:after="20"/>
      </w:pPr>
    </w:p>
    <w:p>
      <w:pPr>
        <w:pStyle w:val="Heading1"/>
        <w:keepNext/>
      </w:pPr>
      <w:r>
        <w:t>Closing mandate</w:t>
      </w:r>
    </w:p>
    <w:p>
      <w:pPr>
        <w:pStyle w:val="BodyText"/>
      </w:pPr>
      <w:r>
        <w:rPr>
          <w:i w:val="0"/>
        </w:rPr>
        <w:t>The objective is disciplined execution. Preserve the architecture, build the simplest correct version first, keep capital and permissions explicit, use AI to accelerate delivery without handing it product authority, and maintain a clear path from MVP trading platform to ELVA’s longer-term infrastructure vision.</w:t>
      </w:r>
    </w:p>
    <w:p>
      <w:pPr>
        <w:pStyle w:val="BodyText"/>
      </w:pPr>
      <w:r>
        <w:rPr>
          <w:i w:val="0"/>
        </w:rPr>
        <w:t>When implementation choices are uncertain: preserve the system, document the issue, propose options with trade-offs, and escalate the decision rather than silently changing the model.</w:t>
      </w:r>
    </w:p>
    <w:sectPr w:rsidR="00FC693F" w:rsidRPr="0006063C" w:rsidSect="00034616">
      <w:headerReference w:type="default" r:id="rId9"/>
      <w:footerReference w:type="default" r:id="rId10"/>
      <w:pgSz w:w="11909" w:h="16834"/>
      <w:pgMar w:top="936"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7083"/>
        <w:sz w:val="15"/>
      </w:rPr>
      <w:t xml:space="preserve">CONFIDENTIAL — INTERNAL EXECUTION BASELINE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7083"/>
        <w:sz w:val="16"/>
      </w:rPr>
      <w:t>ELVA MARKETS  |  MASTER EXECUTION HANDBOOK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825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7111F"/>
      <w:sz w:val="4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98CFF"/>
      <w:sz w:val="30"/>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0B1B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711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70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rPr>
      <w:rFonts w:ascii="Aptos" w:hAnsi="Aptos"/>
      <w:color w:val="18253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82536"/>
      <w:sz w:val="19"/>
    </w:rPr>
  </w:style>
  <w:style w:type="paragraph" w:styleId="ListBullet2">
    <w:name w:val="List Bullet 2"/>
    <w:basedOn w:val="Normal"/>
    <w:uiPriority w:val="99"/>
    <w:unhideWhenUsed/>
    <w:rsid w:val="00326F90"/>
    <w:pPr>
      <w:numPr>
        <w:numId w:val="2"/>
      </w:numPr>
      <w:contextualSpacing/>
    </w:pPr>
    <w:rPr>
      <w:rFonts w:ascii="Aptos" w:hAnsi="Aptos"/>
      <w:color w:val="182536"/>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82536"/>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