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Noto Sans CJK SC" w:hAnsi="Noto Sans CJK SC" w:eastAsia="Noto Sans CJK SC"/>
          <w:b/>
          <w:color w:val="17365D"/>
          <w:sz w:val="40"/>
        </w:rPr>
        <w:t>广州大学城羽毛球智能组局与场馆数字化小程序</w:t>
      </w:r>
    </w:p>
    <w:p>
      <w:pPr>
        <w:spacing w:before="240"/>
        <w:jc w:val="center"/>
      </w:pPr>
      <w:r>
        <w:rPr>
          <w:rFonts w:ascii="Noto Sans CJK SC" w:hAnsi="Noto Sans CJK SC" w:eastAsia="Noto Sans CJK SC"/>
          <w:b/>
          <w:color w:val="2F75B5"/>
          <w:sz w:val="60"/>
        </w:rPr>
        <w:t>竞品分析报告</w:t>
      </w:r>
    </w:p>
    <w:p>
      <w:pPr>
        <w:spacing w:before="200"/>
        <w:jc w:val="center"/>
      </w:pPr>
      <w:r>
        <w:rPr>
          <w:rFonts w:ascii="Noto Sans CJK SC" w:hAnsi="Noto Sans CJK SC" w:eastAsia="Noto Sans CJK SC"/>
          <w:color w:val="666666"/>
          <w:sz w:val="24"/>
        </w:rPr>
        <w:t>V0.1 · 基于公开网页资料整理</w:t>
      </w:r>
    </w:p>
    <w:p>
      <w:pPr>
        <w:spacing w:before="800"/>
        <w:jc w:val="center"/>
      </w:pPr>
      <w:r>
        <w:rPr>
          <w:rFonts w:ascii="Noto Sans CJK SC" w:hAnsi="Noto Sans CJK SC" w:eastAsia="Noto Sans CJK SC"/>
          <w:color w:val="D9EAF7"/>
          <w:sz w:val="20"/>
        </w:rPr>
        <w:t>━━━━━━━━━━━━━━━━━━━━━━━━━━━━</w:t>
      </w:r>
    </w:p>
    <w:p>
      <w:pPr>
        <w:spacing w:before="560"/>
        <w:jc w:val="center"/>
      </w:pPr>
      <w:r>
        <w:rPr>
          <w:rFonts w:ascii="Noto Sans CJK SC" w:hAnsi="Noto Sans CJK SC" w:eastAsia="Noto Sans CJK SC"/>
          <w:b/>
          <w:color w:val="222222"/>
          <w:sz w:val="23"/>
        </w:rPr>
        <w:t>项目范围：广州大学城 · 羽毛球 · 微信小程序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color w:val="C55A11"/>
          <w:sz w:val="21"/>
        </w:rPr>
        <w:t>关键约束：不提供线上支付、收款、退款、订单、线上订场交易</w:t>
      </w:r>
    </w:p>
    <w:p>
      <w:pPr>
        <w:spacing w:before="1800"/>
        <w:jc w:val="center"/>
      </w:pPr>
      <w:r>
        <w:rPr>
          <w:rFonts w:ascii="Noto Sans CJK SC" w:hAnsi="Noto Sans CJK SC" w:eastAsia="Noto Sans CJK SC"/>
          <w:color w:val="666666"/>
          <w:sz w:val="21"/>
        </w:rPr>
        <w:t>2026年9月8日</w:t>
      </w:r>
    </w:p>
    <w:p>
      <w:r>
        <w:br w:type="page"/>
      </w:r>
    </w:p>
    <w:p>
      <w:pPr>
        <w:pStyle w:val="Heading1"/>
        <w:keepNext/>
        <w:spacing w:before="200" w:after="100" w:line="276" w:lineRule="auto"/>
      </w:pPr>
      <w:r>
        <w:rPr>
          <w:rFonts w:ascii="Noto Sans CJK SC" w:hAnsi="Noto Sans CJK SC" w:eastAsia="Noto Sans CJK SC"/>
          <w:b/>
          <w:color w:val="17365D"/>
          <w:sz w:val="32"/>
        </w:rPr>
        <w:t>1. 执行摘要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EDF4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F75B5"/>
                <w:sz w:val="21"/>
              </w:rPr>
              <w:t>核心结论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20"/>
              </w:rPr>
              <w:t>不建议把项目做成“缩小版趣运动”。更合理的方向是：参考趣运动的找球局、活动与场馆信息架构，吸收羽球行的公平分队与现场计分能力、六羽赛事的比赛/场地/轮次数据模型，再用“广州大学城 + 室内球场数字化 + 球局实时运行”建立差异化。</w:t>
            </w:r>
          </w:p>
        </w:tc>
      </w:tr>
    </w:tbl>
    <w:p>
      <w:pPr>
        <w:spacing w:after="0"/>
      </w:pPr>
    </w:p>
    <w:p>
      <w:pPr>
        <w:keepNext w:val="0"/>
        <w:spacing w:before="0" w:after="120" w:line="307" w:lineRule="auto"/>
      </w:pPr>
      <w:r>
        <w:rPr>
          <w:rFonts w:ascii="Noto Sans CJK SC" w:hAnsi="Noto Sans CJK SC" w:eastAsia="Noto Sans CJK SC"/>
          <w:b/>
          <w:color w:val="222222"/>
          <w:sz w:val="21"/>
        </w:rPr>
        <w:t>本项目的核心竞争链路建议定义为：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701"/>
            <w:shd w:fill="17365D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535"/>
            <w:shd w:fill="17365D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核心动作</w:t>
            </w:r>
          </w:p>
        </w:tc>
        <w:tc>
          <w:tcPr>
            <w:tcW w:type="dxa" w:w="3402"/>
            <w:shd w:fill="17365D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项目价值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打球前</w:t>
            </w:r>
          </w:p>
        </w:tc>
        <w:tc>
          <w:tcPr>
            <w:tcW w:type="dxa" w:w="4535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找球局 → 创建 → 报名/候补 → 查看场馆/平面图</w:t>
            </w:r>
          </w:p>
        </w:tc>
        <w:tc>
          <w:tcPr>
            <w:tcW w:type="dxa" w:w="340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降低组局与找场成本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打球中</w:t>
            </w:r>
          </w:p>
        </w:tc>
        <w:tc>
          <w:tcPr>
            <w:tcW w:type="dxa" w:w="4535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签到 → 智能组队 → 自动排场 → 计分 → 自动轮转</w:t>
            </w:r>
          </w:p>
        </w:tc>
        <w:tc>
          <w:tcPr>
            <w:tcW w:type="dxa" w:w="3402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解决现场最繁琐的组织工作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打球后</w:t>
            </w:r>
          </w:p>
        </w:tc>
        <w:tc>
          <w:tcPr>
            <w:tcW w:type="dxa" w:w="4535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战绩 → 搭档/对手 → 水平变化 → 场地评价</w:t>
            </w:r>
          </w:p>
        </w:tc>
        <w:tc>
          <w:tcPr>
            <w:tcW w:type="dxa" w:w="340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形成可持续的数据沉淀</w:t>
            </w:r>
          </w:p>
        </w:tc>
      </w:tr>
    </w:tbl>
    <w:p>
      <w:pPr>
        <w:spacing w:after="0"/>
      </w:pPr>
    </w:p>
    <w:p>
      <w:pPr>
        <w:keepNext w:val="0"/>
        <w:spacing w:before="0" w:after="120" w:line="307" w:lineRule="auto"/>
      </w:pPr>
      <w:r>
        <w:rPr>
          <w:rFonts w:ascii="Noto Sans CJK SC" w:hAnsi="Noto Sans CJK SC" w:eastAsia="Noto Sans CJK SC"/>
          <w:b/>
          <w:color w:val="222222"/>
          <w:sz w:val="21"/>
        </w:rPr>
        <w:t>推荐的产品定位：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3F6F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产品定位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20"/>
              </w:rPr>
              <w:t>面向广州大学城的羽毛球智能组局、比赛管理与场馆数字化微信小程序。平台负责信息、组织和现场管理，不承担资金交易。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 w:line="276" w:lineRule="auto"/>
      </w:pPr>
      <w:r>
        <w:rPr>
          <w:rFonts w:ascii="Noto Sans CJK SC" w:hAnsi="Noto Sans CJK SC" w:eastAsia="Noto Sans CJK SC"/>
          <w:b/>
          <w:color w:val="17365D"/>
          <w:sz w:val="32"/>
        </w:rPr>
        <w:t>2. 项目边界与分析方法</w:t>
      </w:r>
    </w:p>
    <w:p>
      <w:pPr>
        <w:pStyle w:val="Heading2"/>
        <w:keepNext/>
        <w:spacing w:before="120" w:after="100" w:line="276" w:lineRule="auto"/>
      </w:pPr>
      <w:r>
        <w:rPr>
          <w:rFonts w:ascii="Noto Sans CJK SC" w:hAnsi="Noto Sans CJK SC" w:eastAsia="Noto Sans CJK SC"/>
          <w:b/>
          <w:color w:val="17365D"/>
          <w:sz w:val="26"/>
        </w:rPr>
        <w:t>2.1 当前项目边界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聚焦广州大学城，第一阶段只做羽毛球，不扩展篮球、足球、游泳等多运动业务。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所有符合规则的用户均可创建球局；小程序承担活动发现、报名、候补、现场管理、战绩与场馆信息服务。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不提供线上支付、AA收款、退款、钱包、订单、线上订场交易；活动相关费用由参与者自行线下协商解决。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场馆页面可提供公开联系方式或经授权的联系方式，便于用户自行咨询、预订或确认场地。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场馆数字化优先做2D平面图与语义化Court数据；Gaussian Splatting/3D作为后续研究型能力，不作为V1上线依赖。</w:t>
      </w:r>
    </w:p>
    <w:p>
      <w:pPr>
        <w:pStyle w:val="Heading2"/>
        <w:keepNext/>
        <w:spacing w:before="120" w:after="100" w:line="276" w:lineRule="auto"/>
      </w:pPr>
      <w:r>
        <w:rPr>
          <w:rFonts w:ascii="Noto Sans CJK SC" w:hAnsi="Noto Sans CJK SC" w:eastAsia="Noto Sans CJK SC"/>
          <w:b/>
          <w:color w:val="17365D"/>
          <w:sz w:val="26"/>
        </w:rPr>
        <w:t>2.2 竞品样本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984"/>
            <w:shd w:fill="17365D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竞品</w:t>
            </w:r>
          </w:p>
        </w:tc>
        <w:tc>
          <w:tcPr>
            <w:tcW w:type="dxa" w:w="2551"/>
            <w:shd w:fill="17365D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5102"/>
            <w:shd w:fill="17365D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主要参考价值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趣运动</w:t>
            </w:r>
          </w:p>
        </w:tc>
        <w:tc>
          <w:tcPr>
            <w:tcW w:type="dxa" w:w="255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综合运动场馆/活动平台</w:t>
            </w:r>
          </w:p>
        </w:tc>
        <w:tc>
          <w:tcPr>
            <w:tcW w:type="dxa" w:w="510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找球局、活动详情、场馆信息、俱乐部与产品演进</w:t>
            </w:r>
          </w:p>
        </w:tc>
      </w:tr>
      <w:tr>
        <w:trPr>
          <w:cantSplit/>
        </w:trPr>
        <w:tc>
          <w:tcPr>
            <w:tcW w:type="dxa" w:w="1984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羽球行</w:t>
            </w:r>
          </w:p>
        </w:tc>
        <w:tc>
          <w:tcPr>
            <w:tcW w:type="dxa" w:w="2551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羽毛球现场工具</w:t>
            </w:r>
          </w:p>
        </w:tc>
        <w:tc>
          <w:tcPr>
            <w:tcW w:type="dxa" w:w="5102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公平分队、排兵轮换、计分、极简现场交互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六个羽友 / 六羽赛事</w:t>
            </w:r>
          </w:p>
        </w:tc>
        <w:tc>
          <w:tcPr>
            <w:tcW w:type="dxa" w:w="255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赛事管理系统</w:t>
            </w:r>
          </w:p>
        </w:tc>
        <w:tc>
          <w:tcPr>
            <w:tcW w:type="dxa" w:w="510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Round / Match / Court 数据模型、自动编排、录分与归档</w:t>
            </w:r>
          </w:p>
        </w:tc>
      </w:tr>
      <w:tr>
        <w:trPr>
          <w:cantSplit/>
        </w:trPr>
        <w:tc>
          <w:tcPr>
            <w:tcW w:type="dxa" w:w="1984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中羽联</w:t>
            </w:r>
          </w:p>
        </w:tc>
        <w:tc>
          <w:tcPr>
            <w:tcW w:type="dxa" w:w="2551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羽毛球社区/俱乐部</w:t>
            </w:r>
          </w:p>
        </w:tc>
        <w:tc>
          <w:tcPr>
            <w:tcW w:type="dxa" w:w="5102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长期球友关系、俱乐部活动、八人转等玩法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羽约运动</w:t>
            </w:r>
          </w:p>
        </w:tc>
        <w:tc>
          <w:tcPr>
            <w:tcW w:type="dxa" w:w="255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智能羽毛球平台</w:t>
            </w:r>
          </w:p>
        </w:tc>
        <w:tc>
          <w:tcPr>
            <w:tcW w:type="dxa" w:w="510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运动前—中—后全生命周期、智能匹配与数据化思路</w:t>
            </w:r>
          </w:p>
        </w:tc>
      </w:tr>
    </w:tbl>
    <w:p>
      <w:pPr>
        <w:spacing w:after="0"/>
      </w:pPr>
    </w:p>
    <w:p>
      <w:pPr>
        <w:keepNext w:val="0"/>
        <w:spacing w:before="0" w:after="120" w:line="307" w:lineRule="auto"/>
      </w:pPr>
      <w:r>
        <w:rPr>
          <w:rFonts w:ascii="Noto Sans CJK SC" w:hAnsi="Noto Sans CJK SC" w:eastAsia="Noto Sans CJK SC"/>
          <w:b w:val="0"/>
          <w:color w:val="666666"/>
          <w:sz w:val="18"/>
        </w:rPr>
        <w:t>说明：公开网页很难完整反映微信小程序的实时版本，因此“未确认”仅表示本次没有找到可靠公开证据，不能等同于竞品一定不具备该能力。</w:t>
      </w:r>
    </w:p>
    <w:p>
      <w:pPr>
        <w:pStyle w:val="Heading1"/>
        <w:keepNext/>
        <w:spacing w:before="200" w:after="100" w:line="276" w:lineRule="auto"/>
      </w:pPr>
      <w:r>
        <w:rPr>
          <w:rFonts w:ascii="Noto Sans CJK SC" w:hAnsi="Noto Sans CJK SC" w:eastAsia="Noto Sans CJK SC"/>
          <w:b/>
          <w:color w:val="17365D"/>
          <w:sz w:val="32"/>
        </w:rPr>
        <w:t>3. 一级竞品：趣运动</w:t>
      </w:r>
    </w:p>
    <w:p>
      <w:pPr>
        <w:pStyle w:val="Heading2"/>
        <w:keepNext/>
        <w:spacing w:before="120" w:after="100" w:line="276" w:lineRule="auto"/>
      </w:pPr>
      <w:r>
        <w:rPr>
          <w:rFonts w:ascii="Noto Sans CJK SC" w:hAnsi="Noto Sans CJK SC" w:eastAsia="Noto Sans CJK SC"/>
          <w:b/>
          <w:color w:val="17365D"/>
          <w:sz w:val="26"/>
        </w:rPr>
        <w:t>3.1 产品定位与演进</w:t>
      </w:r>
    </w:p>
    <w:p>
      <w:pPr>
        <w:keepNext w:val="0"/>
        <w:spacing w:before="0" w:after="120" w:line="307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趣运动的公开版本历史显示，其产品已从“运动场馆预订”逐步扩展到“群活动、俱乐部、比赛与战力”。截至2026年8月，App Store公开版本为4.0.2。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417"/>
            <w:shd w:fill="17365D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3969"/>
            <w:shd w:fill="17365D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公开版本变化</w:t>
            </w:r>
          </w:p>
        </w:tc>
        <w:tc>
          <w:tcPr>
            <w:tcW w:type="dxa" w:w="4252"/>
            <w:shd w:fill="17365D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对我们的启示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2024年12月</w:t>
            </w:r>
          </w:p>
        </w:tc>
        <w:tc>
          <w:tcPr>
            <w:tcW w:type="dxa" w:w="3969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群活动AA收款、活动报名优化</w:t>
            </w:r>
          </w:p>
        </w:tc>
        <w:tc>
          <w:tcPr>
            <w:tcW w:type="dxa" w:w="42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活动组织能力逐渐独立于订场业务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2025年1月</w:t>
            </w:r>
          </w:p>
        </w:tc>
        <w:tc>
          <w:tcPr>
            <w:tcW w:type="dxa" w:w="3969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群活动支持分组报名</w:t>
            </w:r>
          </w:p>
        </w:tc>
        <w:tc>
          <w:tcPr>
            <w:tcW w:type="dxa" w:w="4252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活动并非简单帖子，需要独立报名结构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2025年3月</w:t>
            </w:r>
          </w:p>
        </w:tc>
        <w:tc>
          <w:tcPr>
            <w:tcW w:type="dxa" w:w="3969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活动标签、场馆地图模式</w:t>
            </w:r>
          </w:p>
        </w:tc>
        <w:tc>
          <w:tcPr>
            <w:tcW w:type="dxa" w:w="42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场馆与活动发现体验持续增强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2025年8月</w:t>
            </w:r>
          </w:p>
        </w:tc>
        <w:tc>
          <w:tcPr>
            <w:tcW w:type="dxa" w:w="3969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优化群活动报名、AA收款、活动场地分配</w:t>
            </w:r>
          </w:p>
        </w:tc>
        <w:tc>
          <w:tcPr>
            <w:tcW w:type="dxa" w:w="4252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“具体场地分配”是被验证的真实需求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2026年6月</w:t>
            </w:r>
          </w:p>
        </w:tc>
        <w:tc>
          <w:tcPr>
            <w:tcW w:type="dxa" w:w="3969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比赛活动、战力榜</w:t>
            </w:r>
          </w:p>
        </w:tc>
        <w:tc>
          <w:tcPr>
            <w:tcW w:type="dxa" w:w="42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产品开始把比赛结果沉淀为长期用户数据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2026年7-8月</w:t>
            </w:r>
          </w:p>
        </w:tc>
        <w:tc>
          <w:tcPr>
            <w:tcW w:type="dxa" w:w="3969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新UI、搜索、活动详情/俱乐部详情优化</w:t>
            </w:r>
          </w:p>
        </w:tc>
        <w:tc>
          <w:tcPr>
            <w:tcW w:type="dxa" w:w="4252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成熟平台仍持续优化核心发现与详情页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 w:line="276" w:lineRule="auto"/>
      </w:pPr>
      <w:r>
        <w:rPr>
          <w:rFonts w:ascii="Noto Sans CJK SC" w:hAnsi="Noto Sans CJK SC" w:eastAsia="Noto Sans CJK SC"/>
          <w:b/>
          <w:color w:val="17365D"/>
          <w:sz w:val="26"/>
        </w:rPr>
        <w:t>3.2 趣运动最值得参考的能力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任务型入口：用户往往带着明确任务进入——找场、找局、看活动，而不是来浏览泛内容。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活动详情结构：时间、地点、水平、报名人数、分组、组织者等关键信息优先呈现。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场馆资料结构化：公开场馆页面会拆出交通、停车、地板、灯光、休息区、空调、器材租借、淋浴等信息。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活动场地分配：版本历史显示该能力持续优化，说明“活动对应具体场地”具有实际价值。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比赛与战力：证明“活动完成后继续沉淀比赛数据”具有成熟产品验证。</w:t>
      </w:r>
    </w:p>
    <w:p>
      <w:pPr>
        <w:pStyle w:val="Heading2"/>
        <w:keepNext/>
        <w:spacing w:before="120" w:after="100" w:line="276" w:lineRule="auto"/>
      </w:pPr>
      <w:r>
        <w:rPr>
          <w:rFonts w:ascii="Noto Sans CJK SC" w:hAnsi="Noto Sans CJK SC" w:eastAsia="Noto Sans CJK SC"/>
          <w:b/>
          <w:color w:val="17365D"/>
          <w:sz w:val="26"/>
        </w:rPr>
        <w:t>3.3 我们不应该复制的部分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2551"/>
            <w:shd w:fill="17365D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趣运动能力</w:t>
            </w:r>
          </w:p>
        </w:tc>
        <w:tc>
          <w:tcPr>
            <w:tcW w:type="dxa" w:w="2268"/>
            <w:shd w:fill="17365D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我们的处理</w:t>
            </w:r>
          </w:p>
        </w:tc>
        <w:tc>
          <w:tcPr>
            <w:tcW w:type="dxa" w:w="4819"/>
            <w:shd w:fill="17365D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线上订场</w:t>
            </w:r>
          </w:p>
        </w:tc>
        <w:tc>
          <w:tcPr>
            <w:tcW w:type="dxa" w:w="22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C00000"/>
                <w:sz w:val="18"/>
              </w:rPr>
              <w:t>不做</w:t>
            </w:r>
          </w:p>
        </w:tc>
        <w:tc>
          <w:tcPr>
            <w:tcW w:type="dxa" w:w="4819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项目定位不是交易平台</w:t>
            </w:r>
          </w:p>
        </w:tc>
      </w:tr>
      <w:tr>
        <w:trPr>
          <w:cantSplit/>
        </w:trPr>
        <w:tc>
          <w:tcPr>
            <w:tcW w:type="dxa" w:w="2551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支付 / AA收款 / 退款</w:t>
            </w:r>
          </w:p>
        </w:tc>
        <w:tc>
          <w:tcPr>
            <w:tcW w:type="dxa" w:w="2268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C00000"/>
                <w:sz w:val="18"/>
              </w:rPr>
              <w:t>不做</w:t>
            </w:r>
          </w:p>
        </w:tc>
        <w:tc>
          <w:tcPr>
            <w:tcW w:type="dxa" w:w="4819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当前上线策略明确取消交易链路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商城 / 团购券 / 会员储值</w:t>
            </w:r>
          </w:p>
        </w:tc>
        <w:tc>
          <w:tcPr>
            <w:tcW w:type="dxa" w:w="22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C00000"/>
                <w:sz w:val="18"/>
              </w:rPr>
              <w:t>不做</w:t>
            </w:r>
          </w:p>
        </w:tc>
        <w:tc>
          <w:tcPr>
            <w:tcW w:type="dxa" w:w="4819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会引入商品、库存、资金和售后复杂度</w:t>
            </w:r>
          </w:p>
        </w:tc>
      </w:tr>
      <w:tr>
        <w:trPr>
          <w:cantSplit/>
        </w:trPr>
        <w:tc>
          <w:tcPr>
            <w:tcW w:type="dxa" w:w="2551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多运动项目</w:t>
            </w:r>
          </w:p>
        </w:tc>
        <w:tc>
          <w:tcPr>
            <w:tcW w:type="dxa" w:w="2268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V1不做</w:t>
            </w:r>
          </w:p>
        </w:tc>
        <w:tc>
          <w:tcPr>
            <w:tcW w:type="dxa" w:w="4819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不同运动规则差异过大，容易造成范围蔓延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全国场馆覆盖</w:t>
            </w:r>
          </w:p>
        </w:tc>
        <w:tc>
          <w:tcPr>
            <w:tcW w:type="dxa" w:w="22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不正面竞争</w:t>
            </w:r>
          </w:p>
        </w:tc>
        <w:tc>
          <w:tcPr>
            <w:tcW w:type="dxa" w:w="4819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先把广州大学城的场馆深度与现场体验做透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 w:line="276" w:lineRule="auto"/>
      </w:pPr>
      <w:r>
        <w:rPr>
          <w:rFonts w:ascii="Noto Sans CJK SC" w:hAnsi="Noto Sans CJK SC" w:eastAsia="Noto Sans CJK SC"/>
          <w:b/>
          <w:color w:val="17365D"/>
          <w:sz w:val="26"/>
        </w:rPr>
        <w:t>3.4 场馆数据：从Venue级进一步做到Court级</w:t>
      </w:r>
    </w:p>
    <w:p>
      <w:pPr>
        <w:keepNext w:val="0"/>
        <w:spacing w:before="0" w:after="120" w:line="307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趣运动已经验证用户关心地板、灯光、空调、停车等场馆条件。本项目可以继续向“单片球场”下钻：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701"/>
            <w:shd w:fill="17365D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685"/>
            <w:shd w:fill="17365D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趣运动公开能力</w:t>
            </w:r>
          </w:p>
        </w:tc>
        <w:tc>
          <w:tcPr>
            <w:tcW w:type="dxa" w:w="4252"/>
            <w:shd w:fill="17365D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我们的深化方向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Venue 场馆</w:t>
            </w:r>
          </w:p>
        </w:tc>
        <w:tc>
          <w:tcPr>
            <w:tcW w:type="dxa" w:w="3685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地址、交通、设施、服务、联系方式等</w:t>
            </w:r>
          </w:p>
        </w:tc>
        <w:tc>
          <w:tcPr>
            <w:tcW w:type="dxa" w:w="42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完整保留结构化场馆资料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Floor 楼层</w:t>
            </w:r>
          </w:p>
        </w:tc>
        <w:tc>
          <w:tcPr>
            <w:tcW w:type="dxa" w:w="3685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公开资料中不是核心重点</w:t>
            </w:r>
          </w:p>
        </w:tc>
        <w:tc>
          <w:tcPr>
            <w:tcW w:type="dxa" w:w="4252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建立楼层/区域层，用于室内导航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Court 单片场</w:t>
            </w:r>
          </w:p>
        </w:tc>
        <w:tc>
          <w:tcPr>
            <w:tcW w:type="dxa" w:w="3685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公开资料中未见作为核心分析粒度</w:t>
            </w:r>
          </w:p>
        </w:tc>
        <w:tc>
          <w:tcPr>
            <w:tcW w:type="dxa" w:w="42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记录场号、坐标、灯光、地胶、后场空间、空调风、人流干扰等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ActivityCourt</w:t>
            </w:r>
          </w:p>
        </w:tc>
        <w:tc>
          <w:tcPr>
            <w:tcW w:type="dxa" w:w="3685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存在活动场地分配方向</w:t>
            </w:r>
          </w:p>
        </w:tc>
        <w:tc>
          <w:tcPr>
            <w:tcW w:type="dxa" w:w="4252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球局与具体Court绑定，并在平面图实时高亮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MatchCourt</w:t>
            </w:r>
          </w:p>
        </w:tc>
        <w:tc>
          <w:tcPr>
            <w:tcW w:type="dxa" w:w="3685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未见作为核心公开能力</w:t>
            </w:r>
          </w:p>
        </w:tc>
        <w:tc>
          <w:tcPr>
            <w:tcW w:type="dxa" w:w="42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一轮比赛与具体Court绑定，形成实时场地看板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 w:line="276" w:lineRule="auto"/>
      </w:pPr>
      <w:r>
        <w:rPr>
          <w:rFonts w:ascii="Noto Sans CJK SC" w:hAnsi="Noto Sans CJK SC" w:eastAsia="Noto Sans CJK SC"/>
          <w:b/>
          <w:color w:val="17365D"/>
          <w:sz w:val="32"/>
        </w:rPr>
        <w:t>4. 现场工具竞品：羽球行</w:t>
      </w:r>
    </w:p>
    <w:p>
      <w:pPr>
        <w:keepNext w:val="0"/>
        <w:spacing w:before="0" w:after="120" w:line="307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羽球行由个人开发者维护，公开定位非常聚焦：比分记录、公平分队、AA分摊、微信接龙解析。与本项目最相关的是“按水平自动组队，兼顾平衡性与随机性，支持排兵轮换”以及正式单双打计分。</w:t>
      </w:r>
    </w:p>
    <w:p>
      <w:pPr>
        <w:pStyle w:val="Heading2"/>
        <w:keepNext/>
        <w:spacing w:before="120" w:after="100" w:line="276" w:lineRule="auto"/>
      </w:pPr>
      <w:r>
        <w:rPr>
          <w:rFonts w:ascii="Noto Sans CJK SC" w:hAnsi="Noto Sans CJK SC" w:eastAsia="Noto Sans CJK SC"/>
          <w:b/>
          <w:color w:val="17365D"/>
          <w:sz w:val="26"/>
        </w:rPr>
        <w:t>4.1 对我们的直接启示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“随机组队”本身不能作为独特卖点，因为已有工具明确提供公平分队与轮换。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现场操作必须极轻：球员站在场边不会接受过多层级和表单。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应提供独立“赛场模式”，用户从今日球局可以一键进入当前轮次，而不是从复杂后台进入。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我们的差异化应从“会分队”升级为“系统持续知道谁在打、谁在休息、谁跟谁搭过、下一轮谁去哪个场”。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EDF4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F75B5"/>
                <w:sz w:val="21"/>
              </w:rPr>
              <w:t>设计原则：赛场模式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20"/>
              </w:rPr>
              <w:t>当前轮次、每块场的对阵、等待人员、比分录入、结束比赛、生成下一轮——这些操作应尽可能集中在一个页面内完成。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 w:line="276" w:lineRule="auto"/>
      </w:pPr>
      <w:r>
        <w:rPr>
          <w:rFonts w:ascii="Noto Sans CJK SC" w:hAnsi="Noto Sans CJK SC" w:eastAsia="Noto Sans CJK SC"/>
          <w:b/>
          <w:color w:val="17365D"/>
          <w:sz w:val="32"/>
        </w:rPr>
        <w:t>5. 专业赛事竞品：六个羽友 / 六羽赛事</w:t>
      </w:r>
    </w:p>
    <w:p>
      <w:pPr>
        <w:keepNext w:val="0"/>
        <w:spacing w:before="0" w:after="120" w:line="307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六羽赛事的核心是从赛事创建、报名、抽签、循环赛、淘汰赛、场地安排、比分录入、积分排名到成绩归档的全流程自动化。它的业务复杂度高于普通社交球局，但底层数据模型非常值得借鉴。</w:t>
      </w:r>
    </w:p>
    <w:p>
      <w:pPr>
        <w:pStyle w:val="Heading2"/>
        <w:keepNext/>
        <w:spacing w:before="120" w:after="100" w:line="276" w:lineRule="auto"/>
      </w:pPr>
      <w:r>
        <w:rPr>
          <w:rFonts w:ascii="Noto Sans CJK SC" w:hAnsi="Noto Sans CJK SC" w:eastAsia="Noto Sans CJK SC"/>
          <w:b/>
          <w:color w:val="17365D"/>
          <w:sz w:val="26"/>
        </w:rPr>
        <w:t>5.1 应吸收的底层模型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实体</w:t>
            </w:r>
          </w:p>
        </w:tc>
        <w:tc>
          <w:tcPr>
            <w:tcW w:type="dxa" w:w="4535"/>
            <w:shd w:fill="17365D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2835"/>
            <w:shd w:fill="17365D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V1是否需要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Activity</w:t>
            </w:r>
          </w:p>
        </w:tc>
        <w:tc>
          <w:tcPr>
            <w:tcW w:type="dxa" w:w="4535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一次社交球局/活动</w:t>
            </w:r>
          </w:p>
        </w:tc>
        <w:tc>
          <w:tcPr>
            <w:tcW w:type="dxa" w:w="2835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需要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Round</w:t>
            </w:r>
          </w:p>
        </w:tc>
        <w:tc>
          <w:tcPr>
            <w:tcW w:type="dxa" w:w="4535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第几轮轮转</w:t>
            </w:r>
          </w:p>
        </w:tc>
        <w:tc>
          <w:tcPr>
            <w:tcW w:type="dxa" w:w="2835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需要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Match</w:t>
            </w:r>
          </w:p>
        </w:tc>
        <w:tc>
          <w:tcPr>
            <w:tcW w:type="dxa" w:w="4535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具体一场对局</w:t>
            </w:r>
          </w:p>
        </w:tc>
        <w:tc>
          <w:tcPr>
            <w:tcW w:type="dxa" w:w="2835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需要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MatchPlayer / Team</w:t>
            </w:r>
          </w:p>
        </w:tc>
        <w:tc>
          <w:tcPr>
            <w:tcW w:type="dxa" w:w="4535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参与比赛的球员/组合</w:t>
            </w:r>
          </w:p>
        </w:tc>
        <w:tc>
          <w:tcPr>
            <w:tcW w:type="dxa" w:w="2835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需要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Court</w:t>
            </w:r>
          </w:p>
        </w:tc>
        <w:tc>
          <w:tcPr>
            <w:tcW w:type="dxa" w:w="4535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比赛使用的具体场地</w:t>
            </w:r>
          </w:p>
        </w:tc>
        <w:tc>
          <w:tcPr>
            <w:tcW w:type="dxa" w:w="2835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需要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Score</w:t>
            </w:r>
          </w:p>
        </w:tc>
        <w:tc>
          <w:tcPr>
            <w:tcW w:type="dxa" w:w="4535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比分结果</w:t>
            </w:r>
          </w:p>
        </w:tc>
        <w:tc>
          <w:tcPr>
            <w:tcW w:type="dxa" w:w="2835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需要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Tournament Bracket</w:t>
            </w:r>
          </w:p>
        </w:tc>
        <w:tc>
          <w:tcPr>
            <w:tcW w:type="dxa" w:w="4535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正式淘汰赛对阵树</w:t>
            </w:r>
          </w:p>
        </w:tc>
        <w:tc>
          <w:tcPr>
            <w:tcW w:type="dxa" w:w="2835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V1不需要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Referee</w:t>
            </w:r>
          </w:p>
        </w:tc>
        <w:tc>
          <w:tcPr>
            <w:tcW w:type="dxa" w:w="4535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裁判管理</w:t>
            </w:r>
          </w:p>
        </w:tc>
        <w:tc>
          <w:tcPr>
            <w:tcW w:type="dxa" w:w="2835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V1不需要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 w:line="276" w:lineRule="auto"/>
      </w:pPr>
      <w:r>
        <w:rPr>
          <w:rFonts w:ascii="Noto Sans CJK SC" w:hAnsi="Noto Sans CJK SC" w:eastAsia="Noto Sans CJK SC"/>
          <w:b/>
          <w:color w:val="17365D"/>
          <w:sz w:val="26"/>
        </w:rPr>
        <w:t>5.2 不应照搬的复杂度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第一版不做瑞士轮、种子选手、正式淘汰赛、裁判分配、大型赛事后台。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普通大学城球局的核心问题是“12个人、3块场、2小时，如何让大家公平高效地轮转”。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因此借用专业系统的数据结构和自动编排思想，但业务流程保持轻量。</w:t>
      </w:r>
    </w:p>
    <w:p>
      <w:pPr>
        <w:pStyle w:val="Heading1"/>
        <w:keepNext/>
        <w:spacing w:before="200" w:after="100" w:line="276" w:lineRule="auto"/>
      </w:pPr>
      <w:r>
        <w:rPr>
          <w:rFonts w:ascii="Noto Sans CJK SC" w:hAnsi="Noto Sans CJK SC" w:eastAsia="Noto Sans CJK SC"/>
          <w:b/>
          <w:color w:val="17365D"/>
          <w:sz w:val="32"/>
        </w:rPr>
        <w:t>6. 社区与生命周期参考：中羽联、羽约运动</w:t>
      </w:r>
    </w:p>
    <w:p>
      <w:pPr>
        <w:pStyle w:val="Heading2"/>
        <w:keepNext/>
        <w:spacing w:before="120" w:after="100" w:line="276" w:lineRule="auto"/>
      </w:pPr>
      <w:r>
        <w:rPr>
          <w:rFonts w:ascii="Noto Sans CJK SC" w:hAnsi="Noto Sans CJK SC" w:eastAsia="Noto Sans CJK SC"/>
          <w:b/>
          <w:color w:val="17365D"/>
          <w:sz w:val="26"/>
        </w:rPr>
        <w:t>6.1 中羽联</w:t>
      </w:r>
    </w:p>
    <w:p>
      <w:pPr>
        <w:keepNext w:val="0"/>
        <w:spacing w:before="0" w:after="120" w:line="307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中羽联公开定位是羽毛球垂直社区与球友连接平台，覆盖多城市球友活动；其公开评论和产品资料也可看到“八人转”等羽毛球特色玩法。对我们的意义是：Match不应被写死成单一正式赛制，未来需要保留轮转玩法扩展能力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2551"/>
            <w:shd w:fill="17365D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玩法/模式</w:t>
            </w:r>
          </w:p>
        </w:tc>
        <w:tc>
          <w:tcPr>
            <w:tcW w:type="dxa" w:w="3969"/>
            <w:shd w:fill="17365D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建议内部枚举</w:t>
            </w:r>
          </w:p>
        </w:tc>
        <w:tc>
          <w:tcPr>
            <w:tcW w:type="dxa" w:w="3118"/>
            <w:shd w:fill="17365D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V1处理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自由轮转</w:t>
            </w:r>
          </w:p>
        </w:tc>
        <w:tc>
          <w:tcPr>
            <w:tcW w:type="dxa" w:w="3969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FREE_ROTATION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可选</w:t>
            </w:r>
          </w:p>
        </w:tc>
      </w:tr>
      <w:tr>
        <w:trPr>
          <w:cantSplit/>
        </w:trPr>
        <w:tc>
          <w:tcPr>
            <w:tcW w:type="dxa" w:w="2551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平衡轮转</w:t>
            </w:r>
          </w:p>
        </w:tc>
        <w:tc>
          <w:tcPr>
            <w:tcW w:type="dxa" w:w="3969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BALANCED_ROTATION</w:t>
            </w:r>
          </w:p>
        </w:tc>
        <w:tc>
          <w:tcPr>
            <w:tcW w:type="dxa" w:w="3118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548235"/>
                <w:sz w:val="18"/>
              </w:rPr>
              <w:t>重点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八人转</w:t>
            </w:r>
          </w:p>
        </w:tc>
        <w:tc>
          <w:tcPr>
            <w:tcW w:type="dxa" w:w="3969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EIGHT_PLAYER_ROTATION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后续</w:t>
            </w:r>
          </w:p>
        </w:tc>
      </w:tr>
      <w:tr>
        <w:trPr>
          <w:cantSplit/>
        </w:trPr>
        <w:tc>
          <w:tcPr>
            <w:tcW w:type="dxa" w:w="2551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循环赛</w:t>
            </w:r>
          </w:p>
        </w:tc>
        <w:tc>
          <w:tcPr>
            <w:tcW w:type="dxa" w:w="3969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ROUND_ROBIN</w:t>
            </w:r>
          </w:p>
        </w:tc>
        <w:tc>
          <w:tcPr>
            <w:tcW w:type="dxa" w:w="3118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后续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自定义</w:t>
            </w:r>
          </w:p>
        </w:tc>
        <w:tc>
          <w:tcPr>
            <w:tcW w:type="dxa" w:w="3969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CUSTOM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后续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 w:line="276" w:lineRule="auto"/>
      </w:pPr>
      <w:r>
        <w:rPr>
          <w:rFonts w:ascii="Noto Sans CJK SC" w:hAnsi="Noto Sans CJK SC" w:eastAsia="Noto Sans CJK SC"/>
          <w:b/>
          <w:color w:val="17365D"/>
          <w:sz w:val="26"/>
        </w:rPr>
        <w:t>6.2 羽约运动</w:t>
      </w:r>
    </w:p>
    <w:p>
      <w:pPr>
        <w:keepNext w:val="0"/>
        <w:spacing w:before="0" w:after="120" w:line="307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羽约运动当前公开介绍按“运动前—运动中—运动后”组织AI能力：运动前智能约球/组局，运动中记录与分析，运动后根据数据匹配球友。我们无需复制智能手表或AI教练，但可以直接借用这种产品生命周期框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生命周期</w:t>
            </w:r>
          </w:p>
        </w:tc>
        <w:tc>
          <w:tcPr>
            <w:tcW w:type="dxa" w:w="7370"/>
            <w:shd w:fill="17365D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我们的功能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Before｜打球前</w:t>
            </w:r>
          </w:p>
        </w:tc>
        <w:tc>
          <w:tcPr>
            <w:tcW w:type="dxa" w:w="737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找球局、创建球局、报名/候补、场馆资料、平面图、联系方式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Live｜打球中</w:t>
            </w:r>
          </w:p>
        </w:tc>
        <w:tc>
          <w:tcPr>
            <w:tcW w:type="dxa" w:w="7370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签到、确认参与者、智能组队、自动排场、场地高亮、计分、自动轮转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After｜打球后</w:t>
            </w:r>
          </w:p>
        </w:tc>
        <w:tc>
          <w:tcPr>
            <w:tcW w:type="dxa" w:w="737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战绩、胜率、搭档/对手、场地评价、历史球局、水平变化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 w:line="276" w:lineRule="auto"/>
      </w:pPr>
      <w:r>
        <w:rPr>
          <w:rFonts w:ascii="Noto Sans CJK SC" w:hAnsi="Noto Sans CJK SC" w:eastAsia="Noto Sans CJK SC"/>
          <w:b/>
          <w:color w:val="17365D"/>
          <w:sz w:val="32"/>
        </w:rPr>
        <w:t>7. 核心功能竞品矩阵</w:t>
      </w:r>
    </w:p>
    <w:p>
      <w:pPr>
        <w:keepNext w:val="0"/>
        <w:spacing w:before="0" w:after="120" w:line="307" w:lineRule="auto"/>
      </w:pPr>
      <w:r>
        <w:rPr>
          <w:rFonts w:ascii="Noto Sans CJK SC" w:hAnsi="Noto Sans CJK SC" w:eastAsia="Noto Sans CJK SC"/>
          <w:b w:val="0"/>
          <w:color w:val="666666"/>
          <w:sz w:val="18"/>
        </w:rPr>
        <w:t>注：“未确认”表示公开资料不足，不代表竞品一定没有。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true"/>
          <w:cantSplit/>
        </w:trPr>
        <w:tc>
          <w:tcPr>
            <w:tcW w:type="dxa" w:w="2324"/>
            <w:shd w:fill="17365D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1474"/>
            <w:shd w:fill="17365D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趣运动</w:t>
            </w:r>
          </w:p>
        </w:tc>
        <w:tc>
          <w:tcPr>
            <w:tcW w:type="dxa" w:w="1304"/>
            <w:shd w:fill="17365D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羽球行</w:t>
            </w:r>
          </w:p>
        </w:tc>
        <w:tc>
          <w:tcPr>
            <w:tcW w:type="dxa" w:w="1531"/>
            <w:shd w:fill="17365D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六羽赛事</w:t>
            </w:r>
          </w:p>
        </w:tc>
        <w:tc>
          <w:tcPr>
            <w:tcW w:type="dxa" w:w="1417"/>
            <w:shd w:fill="17365D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中羽联</w:t>
            </w:r>
          </w:p>
        </w:tc>
        <w:tc>
          <w:tcPr>
            <w:tcW w:type="dxa" w:w="1587"/>
            <w:shd w:fill="17365D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我们</w:t>
            </w:r>
          </w:p>
        </w:tc>
      </w:tr>
      <w:tr>
        <w:trPr>
          <w:cantSplit/>
        </w:trPr>
        <w:tc>
          <w:tcPr>
            <w:tcW w:type="dxa" w:w="232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找球局</w:t>
            </w:r>
          </w:p>
        </w:tc>
        <w:tc>
          <w:tcPr>
            <w:tcW w:type="dxa" w:w="147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有</w:t>
            </w:r>
          </w:p>
        </w:tc>
        <w:tc>
          <w:tcPr>
            <w:tcW w:type="dxa" w:w="1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—</w:t>
            </w:r>
          </w:p>
        </w:tc>
        <w:tc>
          <w:tcPr>
            <w:tcW w:type="dxa" w:w="153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有</w:t>
            </w:r>
          </w:p>
        </w:tc>
        <w:tc>
          <w:tcPr>
            <w:tcW w:type="dxa" w:w="141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有</w:t>
            </w:r>
          </w:p>
        </w:tc>
        <w:tc>
          <w:tcPr>
            <w:tcW w:type="dxa" w:w="158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548235"/>
                <w:sz w:val="16"/>
              </w:rPr>
              <w:t>重点</w:t>
            </w:r>
          </w:p>
        </w:tc>
      </w:tr>
      <w:tr>
        <w:trPr>
          <w:cantSplit/>
        </w:trPr>
        <w:tc>
          <w:tcPr>
            <w:tcW w:type="dxa" w:w="2324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人人创建球局</w:t>
            </w:r>
          </w:p>
        </w:tc>
        <w:tc>
          <w:tcPr>
            <w:tcW w:type="dxa" w:w="1474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有</w:t>
            </w:r>
          </w:p>
        </w:tc>
        <w:tc>
          <w:tcPr>
            <w:tcW w:type="dxa" w:w="1304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—</w:t>
            </w:r>
          </w:p>
        </w:tc>
        <w:tc>
          <w:tcPr>
            <w:tcW w:type="dxa" w:w="1531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有</w:t>
            </w:r>
          </w:p>
        </w:tc>
        <w:tc>
          <w:tcPr>
            <w:tcW w:type="dxa" w:w="1417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有</w:t>
            </w:r>
          </w:p>
        </w:tc>
        <w:tc>
          <w:tcPr>
            <w:tcW w:type="dxa" w:w="1587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548235"/>
                <w:sz w:val="16"/>
              </w:rPr>
              <w:t>重点</w:t>
            </w:r>
          </w:p>
        </w:tc>
      </w:tr>
      <w:tr>
        <w:trPr>
          <w:cantSplit/>
        </w:trPr>
        <w:tc>
          <w:tcPr>
            <w:tcW w:type="dxa" w:w="232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报名/名单</w:t>
            </w:r>
          </w:p>
        </w:tc>
        <w:tc>
          <w:tcPr>
            <w:tcW w:type="dxa" w:w="147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有</w:t>
            </w:r>
          </w:p>
        </w:tc>
        <w:tc>
          <w:tcPr>
            <w:tcW w:type="dxa" w:w="1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—</w:t>
            </w:r>
          </w:p>
        </w:tc>
        <w:tc>
          <w:tcPr>
            <w:tcW w:type="dxa" w:w="153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548235"/>
                <w:sz w:val="16"/>
              </w:rPr>
              <w:t>强</w:t>
            </w:r>
          </w:p>
        </w:tc>
        <w:tc>
          <w:tcPr>
            <w:tcW w:type="dxa" w:w="141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有</w:t>
            </w:r>
          </w:p>
        </w:tc>
        <w:tc>
          <w:tcPr>
            <w:tcW w:type="dxa" w:w="158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548235"/>
                <w:sz w:val="16"/>
              </w:rPr>
              <w:t>重点</w:t>
            </w:r>
          </w:p>
        </w:tc>
      </w:tr>
      <w:tr>
        <w:trPr>
          <w:cantSplit/>
        </w:trPr>
        <w:tc>
          <w:tcPr>
            <w:tcW w:type="dxa" w:w="2324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候补</w:t>
            </w:r>
          </w:p>
        </w:tc>
        <w:tc>
          <w:tcPr>
            <w:tcW w:type="dxa" w:w="1474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未确认</w:t>
            </w:r>
          </w:p>
        </w:tc>
        <w:tc>
          <w:tcPr>
            <w:tcW w:type="dxa" w:w="1304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—</w:t>
            </w:r>
          </w:p>
        </w:tc>
        <w:tc>
          <w:tcPr>
            <w:tcW w:type="dxa" w:w="1531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名额管理</w:t>
            </w:r>
          </w:p>
        </w:tc>
        <w:tc>
          <w:tcPr>
            <w:tcW w:type="dxa" w:w="1417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未确认</w:t>
            </w:r>
          </w:p>
        </w:tc>
        <w:tc>
          <w:tcPr>
            <w:tcW w:type="dxa" w:w="1587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548235"/>
                <w:sz w:val="16"/>
              </w:rPr>
              <w:t>重点</w:t>
            </w:r>
          </w:p>
        </w:tc>
      </w:tr>
      <w:tr>
        <w:trPr>
          <w:cantSplit/>
        </w:trPr>
        <w:tc>
          <w:tcPr>
            <w:tcW w:type="dxa" w:w="232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在线支付</w:t>
            </w:r>
          </w:p>
        </w:tc>
        <w:tc>
          <w:tcPr>
            <w:tcW w:type="dxa" w:w="147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有</w:t>
            </w:r>
          </w:p>
        </w:tc>
        <w:tc>
          <w:tcPr>
            <w:tcW w:type="dxa" w:w="1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—</w:t>
            </w:r>
          </w:p>
        </w:tc>
        <w:tc>
          <w:tcPr>
            <w:tcW w:type="dxa" w:w="153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有</w:t>
            </w:r>
          </w:p>
        </w:tc>
        <w:tc>
          <w:tcPr>
            <w:tcW w:type="dxa" w:w="141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有相关能力</w:t>
            </w:r>
          </w:p>
        </w:tc>
        <w:tc>
          <w:tcPr>
            <w:tcW w:type="dxa" w:w="158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C00000"/>
                <w:sz w:val="16"/>
              </w:rPr>
              <w:t>不做</w:t>
            </w:r>
          </w:p>
        </w:tc>
      </w:tr>
      <w:tr>
        <w:trPr>
          <w:cantSplit/>
        </w:trPr>
        <w:tc>
          <w:tcPr>
            <w:tcW w:type="dxa" w:w="2324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AA线上收款</w:t>
            </w:r>
          </w:p>
        </w:tc>
        <w:tc>
          <w:tcPr>
            <w:tcW w:type="dxa" w:w="1474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有</w:t>
            </w:r>
          </w:p>
        </w:tc>
        <w:tc>
          <w:tcPr>
            <w:tcW w:type="dxa" w:w="1304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工具计算</w:t>
            </w:r>
          </w:p>
        </w:tc>
        <w:tc>
          <w:tcPr>
            <w:tcW w:type="dxa" w:w="1531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可收费</w:t>
            </w:r>
          </w:p>
        </w:tc>
        <w:tc>
          <w:tcPr>
            <w:tcW w:type="dxa" w:w="1417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有相关能力</w:t>
            </w:r>
          </w:p>
        </w:tc>
        <w:tc>
          <w:tcPr>
            <w:tcW w:type="dxa" w:w="1587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C00000"/>
                <w:sz w:val="16"/>
              </w:rPr>
              <w:t>不做</w:t>
            </w:r>
          </w:p>
        </w:tc>
      </w:tr>
      <w:tr>
        <w:trPr>
          <w:cantSplit/>
        </w:trPr>
        <w:tc>
          <w:tcPr>
            <w:tcW w:type="dxa" w:w="232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场馆资料</w:t>
            </w:r>
          </w:p>
        </w:tc>
        <w:tc>
          <w:tcPr>
            <w:tcW w:type="dxa" w:w="147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548235"/>
                <w:sz w:val="16"/>
              </w:rPr>
              <w:t>强</w:t>
            </w:r>
          </w:p>
        </w:tc>
        <w:tc>
          <w:tcPr>
            <w:tcW w:type="dxa" w:w="1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无</w:t>
            </w:r>
          </w:p>
        </w:tc>
        <w:tc>
          <w:tcPr>
            <w:tcW w:type="dxa" w:w="153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有</w:t>
            </w:r>
          </w:p>
        </w:tc>
        <w:tc>
          <w:tcPr>
            <w:tcW w:type="dxa" w:w="141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有</w:t>
            </w:r>
          </w:p>
        </w:tc>
        <w:tc>
          <w:tcPr>
            <w:tcW w:type="dxa" w:w="158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548235"/>
                <w:sz w:val="16"/>
              </w:rPr>
              <w:t>重点</w:t>
            </w:r>
          </w:p>
        </w:tc>
      </w:tr>
      <w:tr>
        <w:trPr>
          <w:cantSplit/>
        </w:trPr>
        <w:tc>
          <w:tcPr>
            <w:tcW w:type="dxa" w:w="2324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场馆设施信息</w:t>
            </w:r>
          </w:p>
        </w:tc>
        <w:tc>
          <w:tcPr>
            <w:tcW w:type="dxa" w:w="1474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548235"/>
                <w:sz w:val="16"/>
              </w:rPr>
              <w:t>强</w:t>
            </w:r>
          </w:p>
        </w:tc>
        <w:tc>
          <w:tcPr>
            <w:tcW w:type="dxa" w:w="1304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无</w:t>
            </w:r>
          </w:p>
        </w:tc>
        <w:tc>
          <w:tcPr>
            <w:tcW w:type="dxa" w:w="1531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部分</w:t>
            </w:r>
          </w:p>
        </w:tc>
        <w:tc>
          <w:tcPr>
            <w:tcW w:type="dxa" w:w="1417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部分</w:t>
            </w:r>
          </w:p>
        </w:tc>
        <w:tc>
          <w:tcPr>
            <w:tcW w:type="dxa" w:w="1587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548235"/>
                <w:sz w:val="16"/>
              </w:rPr>
              <w:t>重点</w:t>
            </w:r>
          </w:p>
        </w:tc>
      </w:tr>
      <w:tr>
        <w:trPr>
          <w:cantSplit/>
        </w:trPr>
        <w:tc>
          <w:tcPr>
            <w:tcW w:type="dxa" w:w="232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室内平面图</w:t>
            </w:r>
          </w:p>
        </w:tc>
        <w:tc>
          <w:tcPr>
            <w:tcW w:type="dxa" w:w="147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未确认</w:t>
            </w:r>
          </w:p>
        </w:tc>
        <w:tc>
          <w:tcPr>
            <w:tcW w:type="dxa" w:w="1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无</w:t>
            </w:r>
          </w:p>
        </w:tc>
        <w:tc>
          <w:tcPr>
            <w:tcW w:type="dxa" w:w="153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未确认</w:t>
            </w:r>
          </w:p>
        </w:tc>
        <w:tc>
          <w:tcPr>
            <w:tcW w:type="dxa" w:w="141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未确认</w:t>
            </w:r>
          </w:p>
        </w:tc>
        <w:tc>
          <w:tcPr>
            <w:tcW w:type="dxa" w:w="158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548235"/>
                <w:sz w:val="16"/>
              </w:rPr>
              <w:t>重点</w:t>
            </w:r>
          </w:p>
        </w:tc>
      </w:tr>
      <w:tr>
        <w:trPr>
          <w:cantSplit/>
        </w:trPr>
        <w:tc>
          <w:tcPr>
            <w:tcW w:type="dxa" w:w="2324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单片场地高亮</w:t>
            </w:r>
          </w:p>
        </w:tc>
        <w:tc>
          <w:tcPr>
            <w:tcW w:type="dxa" w:w="1474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未确认</w:t>
            </w:r>
          </w:p>
        </w:tc>
        <w:tc>
          <w:tcPr>
            <w:tcW w:type="dxa" w:w="1304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无</w:t>
            </w:r>
          </w:p>
        </w:tc>
        <w:tc>
          <w:tcPr>
            <w:tcW w:type="dxa" w:w="1531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场地分配</w:t>
            </w:r>
          </w:p>
        </w:tc>
        <w:tc>
          <w:tcPr>
            <w:tcW w:type="dxa" w:w="1417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未确认</w:t>
            </w:r>
          </w:p>
        </w:tc>
        <w:tc>
          <w:tcPr>
            <w:tcW w:type="dxa" w:w="1587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548235"/>
                <w:sz w:val="16"/>
              </w:rPr>
              <w:t>重点</w:t>
            </w:r>
          </w:p>
        </w:tc>
      </w:tr>
      <w:tr>
        <w:trPr>
          <w:cantSplit/>
        </w:trPr>
        <w:tc>
          <w:tcPr>
            <w:tcW w:type="dxa" w:w="232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单片场地优劣分析</w:t>
            </w:r>
          </w:p>
        </w:tc>
        <w:tc>
          <w:tcPr>
            <w:tcW w:type="dxa" w:w="147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未确认</w:t>
            </w:r>
          </w:p>
        </w:tc>
        <w:tc>
          <w:tcPr>
            <w:tcW w:type="dxa" w:w="1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无</w:t>
            </w:r>
          </w:p>
        </w:tc>
        <w:tc>
          <w:tcPr>
            <w:tcW w:type="dxa" w:w="153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无</w:t>
            </w:r>
          </w:p>
        </w:tc>
        <w:tc>
          <w:tcPr>
            <w:tcW w:type="dxa" w:w="141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未确认</w:t>
            </w:r>
          </w:p>
        </w:tc>
        <w:tc>
          <w:tcPr>
            <w:tcW w:type="dxa" w:w="158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548235"/>
                <w:sz w:val="16"/>
              </w:rPr>
              <w:t>重点</w:t>
            </w:r>
          </w:p>
        </w:tc>
      </w:tr>
      <w:tr>
        <w:trPr>
          <w:cantSplit/>
        </w:trPr>
        <w:tc>
          <w:tcPr>
            <w:tcW w:type="dxa" w:w="2324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公平组队</w:t>
            </w:r>
          </w:p>
        </w:tc>
        <w:tc>
          <w:tcPr>
            <w:tcW w:type="dxa" w:w="1474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未确认</w:t>
            </w:r>
          </w:p>
        </w:tc>
        <w:tc>
          <w:tcPr>
            <w:tcW w:type="dxa" w:w="1304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548235"/>
                <w:sz w:val="16"/>
              </w:rPr>
              <w:t>强</w:t>
            </w:r>
          </w:p>
        </w:tc>
        <w:tc>
          <w:tcPr>
            <w:tcW w:type="dxa" w:w="1531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分组/抽签</w:t>
            </w:r>
          </w:p>
        </w:tc>
        <w:tc>
          <w:tcPr>
            <w:tcW w:type="dxa" w:w="1417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八人转等</w:t>
            </w:r>
          </w:p>
        </w:tc>
        <w:tc>
          <w:tcPr>
            <w:tcW w:type="dxa" w:w="1587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548235"/>
                <w:sz w:val="16"/>
              </w:rPr>
              <w:t>重点</w:t>
            </w:r>
          </w:p>
        </w:tc>
      </w:tr>
      <w:tr>
        <w:trPr>
          <w:cantSplit/>
        </w:trPr>
        <w:tc>
          <w:tcPr>
            <w:tcW w:type="dxa" w:w="232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自动轮转</w:t>
            </w:r>
          </w:p>
        </w:tc>
        <w:tc>
          <w:tcPr>
            <w:tcW w:type="dxa" w:w="147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未确认</w:t>
            </w:r>
          </w:p>
        </w:tc>
        <w:tc>
          <w:tcPr>
            <w:tcW w:type="dxa" w:w="1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548235"/>
                <w:sz w:val="16"/>
              </w:rPr>
              <w:t>强</w:t>
            </w:r>
          </w:p>
        </w:tc>
        <w:tc>
          <w:tcPr>
            <w:tcW w:type="dxa" w:w="153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548235"/>
                <w:sz w:val="16"/>
              </w:rPr>
              <w:t>强</w:t>
            </w:r>
          </w:p>
        </w:tc>
        <w:tc>
          <w:tcPr>
            <w:tcW w:type="dxa" w:w="141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有特色玩法</w:t>
            </w:r>
          </w:p>
        </w:tc>
        <w:tc>
          <w:tcPr>
            <w:tcW w:type="dxa" w:w="158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548235"/>
                <w:sz w:val="16"/>
              </w:rPr>
              <w:t>重点</w:t>
            </w:r>
          </w:p>
        </w:tc>
      </w:tr>
      <w:tr>
        <w:trPr>
          <w:cantSplit/>
        </w:trPr>
        <w:tc>
          <w:tcPr>
            <w:tcW w:type="dxa" w:w="2324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比赛计分</w:t>
            </w:r>
          </w:p>
        </w:tc>
        <w:tc>
          <w:tcPr>
            <w:tcW w:type="dxa" w:w="1474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有比赛能力</w:t>
            </w:r>
          </w:p>
        </w:tc>
        <w:tc>
          <w:tcPr>
            <w:tcW w:type="dxa" w:w="1304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548235"/>
                <w:sz w:val="16"/>
              </w:rPr>
              <w:t>强</w:t>
            </w:r>
          </w:p>
        </w:tc>
        <w:tc>
          <w:tcPr>
            <w:tcW w:type="dxa" w:w="1531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548235"/>
                <w:sz w:val="16"/>
              </w:rPr>
              <w:t>强</w:t>
            </w:r>
          </w:p>
        </w:tc>
        <w:tc>
          <w:tcPr>
            <w:tcW w:type="dxa" w:w="1417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有</w:t>
            </w:r>
          </w:p>
        </w:tc>
        <w:tc>
          <w:tcPr>
            <w:tcW w:type="dxa" w:w="1587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548235"/>
                <w:sz w:val="16"/>
              </w:rPr>
              <w:t>重点</w:t>
            </w:r>
          </w:p>
        </w:tc>
      </w:tr>
      <w:tr>
        <w:trPr>
          <w:cantSplit/>
        </w:trPr>
        <w:tc>
          <w:tcPr>
            <w:tcW w:type="dxa" w:w="232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自动排场</w:t>
            </w:r>
          </w:p>
        </w:tc>
        <w:tc>
          <w:tcPr>
            <w:tcW w:type="dxa" w:w="147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有场地分配</w:t>
            </w:r>
          </w:p>
        </w:tc>
        <w:tc>
          <w:tcPr>
            <w:tcW w:type="dxa" w:w="1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有轮换</w:t>
            </w:r>
          </w:p>
        </w:tc>
        <w:tc>
          <w:tcPr>
            <w:tcW w:type="dxa" w:w="153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548235"/>
                <w:sz w:val="16"/>
              </w:rPr>
              <w:t>强</w:t>
            </w:r>
          </w:p>
        </w:tc>
        <w:tc>
          <w:tcPr>
            <w:tcW w:type="dxa" w:w="141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部分</w:t>
            </w:r>
          </w:p>
        </w:tc>
        <w:tc>
          <w:tcPr>
            <w:tcW w:type="dxa" w:w="158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548235"/>
                <w:sz w:val="16"/>
              </w:rPr>
              <w:t>重点</w:t>
            </w:r>
          </w:p>
        </w:tc>
      </w:tr>
      <w:tr>
        <w:trPr>
          <w:cantSplit/>
        </w:trPr>
        <w:tc>
          <w:tcPr>
            <w:tcW w:type="dxa" w:w="2324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战绩/战力</w:t>
            </w:r>
          </w:p>
        </w:tc>
        <w:tc>
          <w:tcPr>
            <w:tcW w:type="dxa" w:w="1474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战力榜</w:t>
            </w:r>
          </w:p>
        </w:tc>
        <w:tc>
          <w:tcPr>
            <w:tcW w:type="dxa" w:w="1304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工具型</w:t>
            </w:r>
          </w:p>
        </w:tc>
        <w:tc>
          <w:tcPr>
            <w:tcW w:type="dxa" w:w="1531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成绩归档</w:t>
            </w:r>
          </w:p>
        </w:tc>
        <w:tc>
          <w:tcPr>
            <w:tcW w:type="dxa" w:w="1417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有</w:t>
            </w:r>
          </w:p>
        </w:tc>
        <w:tc>
          <w:tcPr>
            <w:tcW w:type="dxa" w:w="1587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548235"/>
                <w:sz w:val="16"/>
              </w:rPr>
              <w:t>重点</w:t>
            </w:r>
          </w:p>
        </w:tc>
      </w:tr>
      <w:tr>
        <w:trPr>
          <w:cantSplit/>
        </w:trPr>
        <w:tc>
          <w:tcPr>
            <w:tcW w:type="dxa" w:w="232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3D场馆</w:t>
            </w:r>
          </w:p>
        </w:tc>
        <w:tc>
          <w:tcPr>
            <w:tcW w:type="dxa" w:w="147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未见公开证据</w:t>
            </w:r>
          </w:p>
        </w:tc>
        <w:tc>
          <w:tcPr>
            <w:tcW w:type="dxa" w:w="1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无</w:t>
            </w:r>
          </w:p>
        </w:tc>
        <w:tc>
          <w:tcPr>
            <w:tcW w:type="dxa" w:w="153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无</w:t>
            </w:r>
          </w:p>
        </w:tc>
        <w:tc>
          <w:tcPr>
            <w:tcW w:type="dxa" w:w="141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未见</w:t>
            </w:r>
          </w:p>
        </w:tc>
        <w:tc>
          <w:tcPr>
            <w:tcW w:type="dxa" w:w="158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研究项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 w:line="276" w:lineRule="auto"/>
      </w:pPr>
      <w:r>
        <w:rPr>
          <w:rFonts w:ascii="Noto Sans CJK SC" w:hAnsi="Noto Sans CJK SC" w:eastAsia="Noto Sans CJK SC"/>
          <w:b/>
          <w:color w:val="17365D"/>
          <w:sz w:val="32"/>
        </w:rPr>
        <w:t>8. 竞争定位与差异化</w:t>
      </w:r>
    </w:p>
    <w:p>
      <w:pPr>
        <w:pStyle w:val="Heading2"/>
        <w:keepNext/>
        <w:spacing w:before="120" w:after="100" w:line="276" w:lineRule="auto"/>
      </w:pPr>
      <w:r>
        <w:rPr>
          <w:rFonts w:ascii="Noto Sans CJK SC" w:hAnsi="Noto Sans CJK SC" w:eastAsia="Noto Sans CJK SC"/>
          <w:b/>
          <w:color w:val="17365D"/>
          <w:sz w:val="26"/>
        </w:rPr>
        <w:t>8.1 不做“另一个趣运动”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3F6F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竞争位置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20"/>
              </w:rPr>
              <w:t>趣运动擅长“去哪打、怎么订、怎么组织”；羽球行擅长“到了以后怎么分队和计分”；六羽赛事擅长“专业比赛怎么自动编排”。我们要占据的是三者之间的空档：大学城社交球局 + 现场实时运行 + 场馆空间数字化。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 w:line="276" w:lineRule="auto"/>
      </w:pPr>
      <w:r>
        <w:rPr>
          <w:rFonts w:ascii="Noto Sans CJK SC" w:hAnsi="Noto Sans CJK SC" w:eastAsia="Noto Sans CJK SC"/>
          <w:b/>
          <w:color w:val="17365D"/>
          <w:sz w:val="26"/>
        </w:rPr>
        <w:t>8.2 真正的核心差异：球局实时运行系统</w:t>
      </w:r>
    </w:p>
    <w:p>
      <w:pPr>
        <w:keepNext w:val="0"/>
        <w:spacing w:before="0" w:after="120" w:line="307" w:lineRule="auto"/>
      </w:pPr>
      <w:r>
        <w:rPr>
          <w:rFonts w:ascii="Noto Sans CJK SC" w:hAnsi="Noto Sans CJK SC" w:eastAsia="Noto Sans CJK SC"/>
          <w:b/>
          <w:color w:val="222222"/>
          <w:sz w:val="20"/>
        </w:rPr>
        <w:t>系统不只做一次性的“随机组队”，而是持续维护现场状态：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现在有哪些人到场；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谁正在上场、谁在等待；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谁刚打完、连续上场/休息了几轮；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谁和谁已经搭档过、交手过；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每个人的参考水平、历史胜率或战力；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当前可用哪些Court，每片场当前是哪一场Match；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比分与比赛状态；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根据公平性与随机性自动生成下一轮。</w:t>
      </w:r>
    </w:p>
    <w:p>
      <w:pPr>
        <w:pStyle w:val="Heading2"/>
        <w:keepNext/>
        <w:spacing w:before="120" w:after="100" w:line="276" w:lineRule="auto"/>
      </w:pPr>
      <w:r>
        <w:rPr>
          <w:rFonts w:ascii="Noto Sans CJK SC" w:hAnsi="Noto Sans CJK SC" w:eastAsia="Noto Sans CJK SC"/>
          <w:b/>
          <w:color w:val="17365D"/>
          <w:sz w:val="26"/>
        </w:rPr>
        <w:t>8.3 第二核心差异：场馆空间数字化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685"/>
            <w:shd w:fill="17365D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V1实现</w:t>
            </w:r>
          </w:p>
        </w:tc>
        <w:tc>
          <w:tcPr>
            <w:tcW w:type="dxa" w:w="3685"/>
            <w:shd w:fill="17365D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未来扩展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2D室内平面图</w:t>
            </w:r>
          </w:p>
        </w:tc>
        <w:tc>
          <w:tcPr>
            <w:tcW w:type="dxa" w:w="3685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SVG/结构化坐标绘制场地、入口、功能点</w:t>
            </w:r>
          </w:p>
        </w:tc>
        <w:tc>
          <w:tcPr>
            <w:tcW w:type="dxa" w:w="3685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支持更复杂的楼层与导航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球局场地高亮</w:t>
            </w:r>
          </w:p>
        </w:tc>
        <w:tc>
          <w:tcPr>
            <w:tcW w:type="dxa" w:w="3685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Activity绑定Court，进入详情即可看到使用场号</w:t>
            </w:r>
          </w:p>
        </w:tc>
        <w:tc>
          <w:tcPr>
            <w:tcW w:type="dxa" w:w="3685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实时显示Match所在Court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单片场地评价</w:t>
            </w:r>
          </w:p>
        </w:tc>
        <w:tc>
          <w:tcPr>
            <w:tcW w:type="dxa" w:w="3685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灯光、地胶、后场空间、空调风、人流等结构化评价</w:t>
            </w:r>
          </w:p>
        </w:tc>
        <w:tc>
          <w:tcPr>
            <w:tcW w:type="dxa" w:w="3685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基于历史数据分析场地偏差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3D场馆</w:t>
            </w:r>
          </w:p>
        </w:tc>
        <w:tc>
          <w:tcPr>
            <w:tcW w:type="dxa" w:w="3685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V1不依赖</w:t>
            </w:r>
          </w:p>
        </w:tc>
        <w:tc>
          <w:tcPr>
            <w:tcW w:type="dxa" w:w="3685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标准3D语义层 + Gaussian Splatting视觉层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 w:line="276" w:lineRule="auto"/>
      </w:pPr>
      <w:r>
        <w:rPr>
          <w:rFonts w:ascii="Noto Sans CJK SC" w:hAnsi="Noto Sans CJK SC" w:eastAsia="Noto Sans CJK SC"/>
          <w:b/>
          <w:color w:val="17365D"/>
          <w:sz w:val="26"/>
        </w:rPr>
        <w:t>8.4 3D / Gaussian Splatting的定位</w:t>
      </w:r>
    </w:p>
    <w:p>
      <w:pPr>
        <w:keepNext w:val="0"/>
        <w:spacing w:before="0" w:after="120" w:line="307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建议把3DGS放在“体验层”而不是“业务层”。2D/SVG和标准3D语义对象负责Court ID、点击、高亮与业务交互；Gaussian Splatting负责真实感场馆浏览。这样可以避免让GS承担不擅长的语义交互。</w:t>
      </w:r>
    </w:p>
    <w:p>
      <w:pPr>
        <w:pStyle w:val="Heading1"/>
        <w:keepNext/>
        <w:spacing w:before="200" w:after="100" w:line="276" w:lineRule="auto"/>
      </w:pPr>
      <w:r>
        <w:rPr>
          <w:rFonts w:ascii="Noto Sans CJK SC" w:hAnsi="Noto Sans CJK SC" w:eastAsia="Noto Sans CJK SC"/>
          <w:b/>
          <w:color w:val="17365D"/>
          <w:sz w:val="32"/>
        </w:rPr>
        <w:t>9. 建议的信息架构与一级模块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701"/>
            <w:shd w:fill="17365D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一级模块</w:t>
            </w:r>
          </w:p>
        </w:tc>
        <w:tc>
          <w:tcPr>
            <w:tcW w:type="dxa" w:w="4535"/>
            <w:shd w:fill="17365D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核心功能</w:t>
            </w:r>
          </w:p>
        </w:tc>
        <w:tc>
          <w:tcPr>
            <w:tcW w:type="dxa" w:w="3402"/>
            <w:shd w:fill="17365D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设计重点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首页</w:t>
            </w:r>
          </w:p>
        </w:tc>
        <w:tc>
          <w:tcPr>
            <w:tcW w:type="dxa" w:w="4535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今晚球局、快捷找局、创建球局、进入赛场</w:t>
            </w:r>
          </w:p>
        </w:tc>
        <w:tc>
          <w:tcPr>
            <w:tcW w:type="dxa" w:w="340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任务型，不做信息流式首页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球局</w:t>
            </w:r>
          </w:p>
        </w:tc>
        <w:tc>
          <w:tcPr>
            <w:tcW w:type="dxa" w:w="4535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列表、筛选、活动详情、报名/候补、创建</w:t>
            </w:r>
          </w:p>
        </w:tc>
        <w:tc>
          <w:tcPr>
            <w:tcW w:type="dxa" w:w="3402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时间/地点/水平/人数优先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赛场</w:t>
            </w:r>
          </w:p>
        </w:tc>
        <w:tc>
          <w:tcPr>
            <w:tcW w:type="dxa" w:w="4535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签到、组队、排场、计分、轮转</w:t>
            </w:r>
          </w:p>
        </w:tc>
        <w:tc>
          <w:tcPr>
            <w:tcW w:type="dxa" w:w="340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必须极简、适合站在场边操作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场馆</w:t>
            </w:r>
          </w:p>
        </w:tc>
        <w:tc>
          <w:tcPr>
            <w:tcW w:type="dxa" w:w="4535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场馆资料、联系方式、2D平面图、Court详情</w:t>
            </w:r>
          </w:p>
        </w:tc>
        <w:tc>
          <w:tcPr>
            <w:tcW w:type="dxa" w:w="3402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从Venue级深入到Court级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我的</w:t>
            </w:r>
          </w:p>
        </w:tc>
        <w:tc>
          <w:tcPr>
            <w:tcW w:type="dxa" w:w="4535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历史球局、创建的球局、战绩、水平、收藏</w:t>
            </w:r>
          </w:p>
        </w:tc>
        <w:tc>
          <w:tcPr>
            <w:tcW w:type="dxa" w:w="340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沉淀长期个人数据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 w:line="276" w:lineRule="auto"/>
      </w:pPr>
      <w:r>
        <w:rPr>
          <w:rFonts w:ascii="Noto Sans CJK SC" w:hAnsi="Noto Sans CJK SC" w:eastAsia="Noto Sans CJK SC"/>
          <w:b/>
          <w:color w:val="17365D"/>
          <w:sz w:val="26"/>
        </w:rPr>
        <w:t>9.1 建议底部导航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EDF4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F75B5"/>
                <w:sz w:val="21"/>
              </w:rPr>
              <w:t>首页 ｜ 球局 ｜ 赛场 ｜ 场馆 ｜ 我的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20"/>
              </w:rPr>
              <w:t>“创建球局”建议作为全局显著动作（例如悬浮按钮或首页主按钮），因为项目强调人人可创建。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 w:line="276" w:lineRule="auto"/>
      </w:pPr>
      <w:r>
        <w:rPr>
          <w:rFonts w:ascii="Noto Sans CJK SC" w:hAnsi="Noto Sans CJK SC" w:eastAsia="Noto Sans CJK SC"/>
          <w:b/>
          <w:color w:val="17365D"/>
          <w:sz w:val="32"/>
        </w:rPr>
        <w:t>10. 核心业务数据模型建议</w:t>
      </w:r>
    </w:p>
    <w:p>
      <w:pPr>
        <w:keepNext w:val="0"/>
        <w:spacing w:before="0" w:after="120" w:line="307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为了支撑“场馆 → 场地 → 球局 → 轮次 → 比赛 → 球员”的完整链路，建议核心实体至少包括：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业务域</w:t>
            </w:r>
          </w:p>
        </w:tc>
        <w:tc>
          <w:tcPr>
            <w:tcW w:type="dxa" w:w="7370"/>
            <w:shd w:fill="17365D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核心实体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用户</w:t>
            </w:r>
          </w:p>
        </w:tc>
        <w:tc>
          <w:tcPr>
            <w:tcW w:type="dxa" w:w="737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User、PlayerStat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场馆</w:t>
            </w:r>
          </w:p>
        </w:tc>
        <w:tc>
          <w:tcPr>
            <w:tcW w:type="dxa" w:w="7370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Venue、VenueContact、Floor、Court、CourtFeature、CourtReview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球局</w:t>
            </w:r>
          </w:p>
        </w:tc>
        <w:tc>
          <w:tcPr>
            <w:tcW w:type="dxa" w:w="737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Activity、ActivityCourt、Registration、Waitlist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现场</w:t>
            </w:r>
          </w:p>
        </w:tc>
        <w:tc>
          <w:tcPr>
            <w:tcW w:type="dxa" w:w="7370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Session、Round、Match、MatchPlayer、MatchScore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玩法/算法</w:t>
            </w:r>
          </w:p>
        </w:tc>
        <w:tc>
          <w:tcPr>
            <w:tcW w:type="dxa" w:w="737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PlayMode、TeamMode、RotationRule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3F6F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548235"/>
                <w:sz w:val="21"/>
              </w:rPr>
              <w:t>关键数据链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20"/>
              </w:rPr>
              <w:t>Venue → Floor → Court → ActivityCourt → Activity → Round → Match → MatchPlayer → User</w:t>
            </w:r>
          </w:p>
        </w:tc>
      </w:tr>
    </w:tbl>
    <w:p>
      <w:pPr>
        <w:spacing w:after="0"/>
      </w:pPr>
    </w:p>
    <w:p>
      <w:pPr>
        <w:keepNext w:val="0"/>
        <w:spacing w:before="0" w:after="120" w:line="307" w:lineRule="auto"/>
      </w:pPr>
      <w:r>
        <w:rPr>
          <w:rFonts w:ascii="Noto Sans CJK SC" w:hAnsi="Noto Sans CJK SC" w:eastAsia="Noto Sans CJK SC"/>
          <w:b w:val="0"/>
          <w:color w:val="C55A11"/>
          <w:sz w:val="20"/>
        </w:rPr>
        <w:t>明确不进入核心ER模型的交易实体：Order、Payment、Refund、Settlement、Wallet、Coupon。费用只保留为“说明信息”，不产生资金状态。</w:t>
      </w:r>
    </w:p>
    <w:p>
      <w:pPr>
        <w:pStyle w:val="Heading1"/>
        <w:keepNext/>
        <w:spacing w:before="200" w:after="100" w:line="276" w:lineRule="auto"/>
      </w:pPr>
      <w:r>
        <w:rPr>
          <w:rFonts w:ascii="Noto Sans CJK SC" w:hAnsi="Noto Sans CJK SC" w:eastAsia="Noto Sans CJK SC"/>
          <w:b/>
          <w:color w:val="17365D"/>
          <w:sz w:val="32"/>
        </w:rPr>
        <w:t>11. V1 范围建议（MoSCoW）</w:t>
      </w:r>
    </w:p>
    <w:p>
      <w:pPr>
        <w:pStyle w:val="Heading2"/>
        <w:keepNext/>
        <w:spacing w:before="120" w:after="100" w:line="276" w:lineRule="auto"/>
      </w:pPr>
      <w:r>
        <w:rPr>
          <w:rFonts w:ascii="Noto Sans CJK SC" w:hAnsi="Noto Sans CJK SC" w:eastAsia="Noto Sans CJK SC"/>
          <w:b/>
          <w:color w:val="17365D"/>
          <w:sz w:val="26"/>
        </w:rPr>
        <w:t>11.1 Must Have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850"/>
            <w:shd w:fill="17365D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#</w:t>
            </w:r>
          </w:p>
        </w:tc>
        <w:tc>
          <w:tcPr>
            <w:tcW w:type="dxa" w:w="8787"/>
            <w:shd w:fill="17365D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1</w:t>
            </w:r>
          </w:p>
        </w:tc>
        <w:tc>
          <w:tcPr>
            <w:tcW w:type="dxa" w:w="878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微信用户体系与基础资料（学校、羽毛球水平）</w:t>
            </w:r>
          </w:p>
        </w:tc>
      </w:tr>
      <w:tr>
        <w:trPr>
          <w:cantSplit/>
        </w:trPr>
        <w:tc>
          <w:tcPr>
            <w:tcW w:type="dxa" w:w="850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2</w:t>
            </w:r>
          </w:p>
        </w:tc>
        <w:tc>
          <w:tcPr>
            <w:tcW w:type="dxa" w:w="8787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球局列表、筛选与详情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3</w:t>
            </w:r>
          </w:p>
        </w:tc>
        <w:tc>
          <w:tcPr>
            <w:tcW w:type="dxa" w:w="878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所有用户可创建球局</w:t>
            </w:r>
          </w:p>
        </w:tc>
      </w:tr>
      <w:tr>
        <w:trPr>
          <w:cantSplit/>
        </w:trPr>
        <w:tc>
          <w:tcPr>
            <w:tcW w:type="dxa" w:w="850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4</w:t>
            </w:r>
          </w:p>
        </w:tc>
        <w:tc>
          <w:tcPr>
            <w:tcW w:type="dxa" w:w="8787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报名、退出、候补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5</w:t>
            </w:r>
          </w:p>
        </w:tc>
        <w:tc>
          <w:tcPr>
            <w:tcW w:type="dxa" w:w="878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场馆数据库与联系方式</w:t>
            </w:r>
          </w:p>
        </w:tc>
      </w:tr>
      <w:tr>
        <w:trPr>
          <w:cantSplit/>
        </w:trPr>
        <w:tc>
          <w:tcPr>
            <w:tcW w:type="dxa" w:w="850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6</w:t>
            </w:r>
          </w:p>
        </w:tc>
        <w:tc>
          <w:tcPr>
            <w:tcW w:type="dxa" w:w="8787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2D场馆平面图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7</w:t>
            </w:r>
          </w:p>
        </w:tc>
        <w:tc>
          <w:tcPr>
            <w:tcW w:type="dxa" w:w="878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球局绑定并高亮具体Court</w:t>
            </w:r>
          </w:p>
        </w:tc>
      </w:tr>
      <w:tr>
        <w:trPr>
          <w:cantSplit/>
        </w:trPr>
        <w:tc>
          <w:tcPr>
            <w:tcW w:type="dxa" w:w="850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8</w:t>
            </w:r>
          </w:p>
        </w:tc>
        <w:tc>
          <w:tcPr>
            <w:tcW w:type="dxa" w:w="8787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到场人员确认/签到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9</w:t>
            </w:r>
          </w:p>
        </w:tc>
        <w:tc>
          <w:tcPr>
            <w:tcW w:type="dxa" w:w="878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完全随机组队</w:t>
            </w:r>
          </w:p>
        </w:tc>
      </w:tr>
      <w:tr>
        <w:trPr>
          <w:cantSplit/>
        </w:trPr>
        <w:tc>
          <w:tcPr>
            <w:tcW w:type="dxa" w:w="850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10</w:t>
            </w:r>
          </w:p>
        </w:tc>
        <w:tc>
          <w:tcPr>
            <w:tcW w:type="dxa" w:w="8787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水平平衡组队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11</w:t>
            </w:r>
          </w:p>
        </w:tc>
        <w:tc>
          <w:tcPr>
            <w:tcW w:type="dxa" w:w="878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自动排场</w:t>
            </w:r>
          </w:p>
        </w:tc>
      </w:tr>
      <w:tr>
        <w:trPr>
          <w:cantSplit/>
        </w:trPr>
        <w:tc>
          <w:tcPr>
            <w:tcW w:type="dxa" w:w="850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12</w:t>
            </w:r>
          </w:p>
        </w:tc>
        <w:tc>
          <w:tcPr>
            <w:tcW w:type="dxa" w:w="8787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比赛计分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13</w:t>
            </w:r>
          </w:p>
        </w:tc>
        <w:tc>
          <w:tcPr>
            <w:tcW w:type="dxa" w:w="878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自动轮转</w:t>
            </w:r>
          </w:p>
        </w:tc>
      </w:tr>
      <w:tr>
        <w:trPr>
          <w:cantSplit/>
        </w:trPr>
        <w:tc>
          <w:tcPr>
            <w:tcW w:type="dxa" w:w="850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14</w:t>
            </w:r>
          </w:p>
        </w:tc>
        <w:tc>
          <w:tcPr>
            <w:tcW w:type="dxa" w:w="8787"/>
            <w:shd w:fill="F8FAFC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基础个人战绩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15</w:t>
            </w:r>
          </w:p>
        </w:tc>
        <w:tc>
          <w:tcPr>
            <w:tcW w:type="dxa" w:w="878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我的球局/历史记录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 w:line="276" w:lineRule="auto"/>
      </w:pPr>
      <w:r>
        <w:rPr>
          <w:rFonts w:ascii="Noto Sans CJK SC" w:hAnsi="Noto Sans CJK SC" w:eastAsia="Noto Sans CJK SC"/>
          <w:b/>
          <w:color w:val="17365D"/>
          <w:sz w:val="26"/>
        </w:rPr>
        <w:t>11.2 Should Have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单片场地评价与标签；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历史搭档/对手统计；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连续上场、连续休息约束；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订阅通知；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基础举报/信用机制；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费用说明与联系方式可见性设置。</w:t>
      </w:r>
    </w:p>
    <w:p>
      <w:pPr>
        <w:pStyle w:val="Heading2"/>
        <w:keepNext/>
        <w:spacing w:before="120" w:after="100" w:line="276" w:lineRule="auto"/>
      </w:pPr>
      <w:r>
        <w:rPr>
          <w:rFonts w:ascii="Noto Sans CJK SC" w:hAnsi="Noto Sans CJK SC" w:eastAsia="Noto Sans CJK SC"/>
          <w:b/>
          <w:color w:val="17365D"/>
          <w:sz w:val="26"/>
        </w:rPr>
        <w:t>11.3 Could Have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更完整的战力算法与水平动态调整；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俱乐部/长期球友组织；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八人转、循环赛等玩法；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更复杂的场地数据分析；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活动推荐与个性化匹配。</w:t>
      </w:r>
    </w:p>
    <w:p>
      <w:pPr>
        <w:pStyle w:val="Heading2"/>
        <w:keepNext/>
        <w:spacing w:before="120" w:after="100" w:line="276" w:lineRule="auto"/>
      </w:pPr>
      <w:r>
        <w:rPr>
          <w:rFonts w:ascii="Noto Sans CJK SC" w:hAnsi="Noto Sans CJK SC" w:eastAsia="Noto Sans CJK SC"/>
          <w:b/>
          <w:color w:val="17365D"/>
          <w:sz w:val="26"/>
        </w:rPr>
        <w:t>11.4 Won’t Have（本期明确不做）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在线支付、AA线上收款、退款、钱包、订单；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线上订场交易；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商城、商品、库存、物流、优惠券、会员储值；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多运动项目；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大型赛事管理后台；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把3D/Gaussian Splatting设为核心上线依赖。</w:t>
      </w:r>
    </w:p>
    <w:p>
      <w:pPr>
        <w:pStyle w:val="Heading1"/>
        <w:keepNext/>
        <w:spacing w:before="200" w:after="100" w:line="276" w:lineRule="auto"/>
      </w:pPr>
      <w:r>
        <w:rPr>
          <w:rFonts w:ascii="Noto Sans CJK SC" w:hAnsi="Noto Sans CJK SC" w:eastAsia="Noto Sans CJK SC"/>
          <w:b/>
          <w:color w:val="17365D"/>
          <w:sz w:val="32"/>
        </w:rPr>
        <w:t>12. 下一步建议</w:t>
      </w:r>
    </w:p>
    <w:p>
      <w:pPr>
        <w:pStyle w:val="ListNumber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冻结V1产品范围：把Must / Should / Could / Won’t转成正式Scope Baseline。</w:t>
      </w:r>
    </w:p>
    <w:p>
      <w:pPr>
        <w:pStyle w:val="ListNumber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对“趣运动”进一步做页面级拆解：首页、找球局、活动详情、创建球局、场馆详情、我的/俱乐部。</w:t>
      </w:r>
    </w:p>
    <w:p>
      <w:pPr>
        <w:pStyle w:val="ListNumber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同步绘制我们的信息架构（IA）与核心用户流程：找局、创建、报名、进入赛场、计分、轮转。</w:t>
      </w:r>
    </w:p>
    <w:p>
      <w:pPr>
        <w:pStyle w:val="ListNumber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先做2D场馆平面图POC：选择1个大学城高频羽毛球馆，验证Court坐标、点击、高亮与活动绑定。</w:t>
      </w:r>
    </w:p>
    <w:p>
      <w:pPr>
        <w:pStyle w:val="ListNumber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先做一版平衡组队算法POC：同时考虑水平差、重复搭档、重复对手、连续上场和连续休息。</w:t>
      </w:r>
    </w:p>
    <w:p>
      <w:pPr>
        <w:pStyle w:val="ListNumber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在原型评审后进入SRS、ER图、API设计和WBS，而不是立刻全面编码。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FF2C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C55A11"/>
                <w:sz w:val="21"/>
              </w:rPr>
              <w:t>建议优先验证的产品假设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22222"/>
                <w:sz w:val="20"/>
              </w:rPr>
              <w:t>“室内平面图 + 实时场地看板”是否真的比单纯活动详情更有价值，以及“自动排场/轮转”是否能显著减少组织者现场操作。这两个假设决定项目真正的差异化。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 w:line="276" w:lineRule="auto"/>
      </w:pPr>
      <w:r>
        <w:rPr>
          <w:rFonts w:ascii="Noto Sans CJK SC" w:hAnsi="Noto Sans CJK SC" w:eastAsia="Noto Sans CJK SC"/>
          <w:b/>
          <w:color w:val="17365D"/>
          <w:sz w:val="32"/>
        </w:rPr>
        <w:t>附录 A. 公开资料来源</w:t>
      </w:r>
    </w:p>
    <w:p>
      <w:pPr>
        <w:keepNext w:val="0"/>
        <w:spacing w:before="0" w:after="120" w:line="307" w:lineRule="auto"/>
      </w:pPr>
      <w:r>
        <w:rPr>
          <w:rFonts w:ascii="Noto Sans CJK SC" w:hAnsi="Noto Sans CJK SC" w:eastAsia="Noto Sans CJK SC"/>
          <w:b w:val="0"/>
          <w:color w:val="666666"/>
          <w:sz w:val="19"/>
        </w:rPr>
        <w:t>以下资料用于竞品能力与产品演进的公开信息核验。小程序实际功能可能与App或网页版本存在差异。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22222"/>
          <w:sz w:val="18"/>
        </w:rPr>
        <w:t xml:space="preserve">S1 趣运动 App Store（版本历史）  </w:t>
      </w:r>
      <w:hyperlink r:id="rId10">
        <w:r>
          <w:rPr>
            <w:color w:val="2F75B5"/>
            <w:u w:val="single"/>
            <w:rFonts w:ascii="Noto Sans CJK SC" w:hAnsi="Noto Sans CJK SC" w:eastAsia="Noto Sans CJK SC"/>
          </w:rPr>
          <w:t>打开来源</w:t>
        </w:r>
      </w:hyperlink>
    </w:p>
    <w:p>
      <w:pPr>
        <w:spacing w:after="80"/>
      </w:pPr>
      <w:r>
        <w:rPr>
          <w:rFonts w:ascii="Noto Sans CJK SC" w:hAnsi="Noto Sans CJK SC" w:eastAsia="Noto Sans CJK SC"/>
          <w:b/>
          <w:color w:val="222222"/>
          <w:sz w:val="18"/>
        </w:rPr>
        <w:t xml:space="preserve">S2 趣运动场馆详情示例：远诚羽毛球馆  </w:t>
      </w:r>
      <w:hyperlink r:id="rId11">
        <w:r>
          <w:rPr>
            <w:color w:val="2F75B5"/>
            <w:u w:val="single"/>
            <w:rFonts w:ascii="Noto Sans CJK SC" w:hAnsi="Noto Sans CJK SC" w:eastAsia="Noto Sans CJK SC"/>
          </w:rPr>
          <w:t>打开来源</w:t>
        </w:r>
      </w:hyperlink>
    </w:p>
    <w:p>
      <w:pPr>
        <w:spacing w:after="80"/>
      </w:pPr>
      <w:r>
        <w:rPr>
          <w:rFonts w:ascii="Noto Sans CJK SC" w:hAnsi="Noto Sans CJK SC" w:eastAsia="Noto Sans CJK SC"/>
          <w:b/>
          <w:color w:val="222222"/>
          <w:sz w:val="18"/>
        </w:rPr>
        <w:t xml:space="preserve">S3 趣运动场馆详情示例：江宁路羽毛球运动馆  </w:t>
      </w:r>
      <w:hyperlink r:id="rId12">
        <w:r>
          <w:rPr>
            <w:color w:val="2F75B5"/>
            <w:u w:val="single"/>
            <w:rFonts w:ascii="Noto Sans CJK SC" w:hAnsi="Noto Sans CJK SC" w:eastAsia="Noto Sans CJK SC"/>
          </w:rPr>
          <w:t>打开来源</w:t>
        </w:r>
      </w:hyperlink>
    </w:p>
    <w:p>
      <w:pPr>
        <w:spacing w:after="80"/>
      </w:pPr>
      <w:r>
        <w:rPr>
          <w:rFonts w:ascii="Noto Sans CJK SC" w:hAnsi="Noto Sans CJK SC" w:eastAsia="Noto Sans CJK SC"/>
          <w:b/>
          <w:color w:val="222222"/>
          <w:sz w:val="18"/>
        </w:rPr>
        <w:t xml:space="preserve">S4 羽球行官网  </w:t>
      </w:r>
      <w:hyperlink r:id="rId13">
        <w:r>
          <w:rPr>
            <w:color w:val="2F75B5"/>
            <w:u w:val="single"/>
            <w:rFonts w:ascii="Noto Sans CJK SC" w:hAnsi="Noto Sans CJK SC" w:eastAsia="Noto Sans CJK SC"/>
          </w:rPr>
          <w:t>打开来源</w:t>
        </w:r>
      </w:hyperlink>
    </w:p>
    <w:p>
      <w:pPr>
        <w:spacing w:after="80"/>
      </w:pPr>
      <w:r>
        <w:rPr>
          <w:rFonts w:ascii="Noto Sans CJK SC" w:hAnsi="Noto Sans CJK SC" w:eastAsia="Noto Sans CJK SC"/>
          <w:b/>
          <w:color w:val="222222"/>
          <w:sz w:val="18"/>
        </w:rPr>
        <w:t xml:space="preserve">S5 六羽赛事赛事活动解决方案  </w:t>
      </w:r>
      <w:hyperlink r:id="rId14">
        <w:r>
          <w:rPr>
            <w:color w:val="2F75B5"/>
            <w:u w:val="single"/>
            <w:rFonts w:ascii="Noto Sans CJK SC" w:hAnsi="Noto Sans CJK SC" w:eastAsia="Noto Sans CJK SC"/>
          </w:rPr>
          <w:t>打开来源</w:t>
        </w:r>
      </w:hyperlink>
    </w:p>
    <w:p>
      <w:pPr>
        <w:spacing w:after="80"/>
      </w:pPr>
      <w:r>
        <w:rPr>
          <w:rFonts w:ascii="Noto Sans CJK SC" w:hAnsi="Noto Sans CJK SC" w:eastAsia="Noto Sans CJK SC"/>
          <w:b/>
          <w:color w:val="222222"/>
          <w:sz w:val="18"/>
        </w:rPr>
        <w:t xml:space="preserve">S6 中羽联 App Store  </w:t>
      </w:r>
      <w:hyperlink r:id="rId15">
        <w:r>
          <w:rPr>
            <w:color w:val="2F75B5"/>
            <w:u w:val="single"/>
            <w:rFonts w:ascii="Noto Sans CJK SC" w:hAnsi="Noto Sans CJK SC" w:eastAsia="Noto Sans CJK SC"/>
          </w:rPr>
          <w:t>打开来源</w:t>
        </w:r>
      </w:hyperlink>
    </w:p>
    <w:p>
      <w:pPr>
        <w:spacing w:after="80"/>
      </w:pPr>
      <w:r>
        <w:rPr>
          <w:rFonts w:ascii="Noto Sans CJK SC" w:hAnsi="Noto Sans CJK SC" w:eastAsia="Noto Sans CJK SC"/>
          <w:b/>
          <w:color w:val="222222"/>
          <w:sz w:val="18"/>
        </w:rPr>
        <w:t xml:space="preserve">S7 羽约运动 App Store  </w:t>
      </w:r>
      <w:hyperlink r:id="rId16">
        <w:r>
          <w:rPr>
            <w:color w:val="2F75B5"/>
            <w:u w:val="single"/>
            <w:rFonts w:ascii="Noto Sans CJK SC" w:hAnsi="Noto Sans CJK SC" w:eastAsia="Noto Sans CJK SC"/>
          </w:rPr>
          <w:t>打开来源</w:t>
        </w:r>
      </w:hyperlink>
    </w:p>
    <w:p>
      <w:pPr>
        <w:pStyle w:val="Heading1"/>
        <w:keepNext/>
        <w:spacing w:before="200" w:after="100" w:line="276" w:lineRule="auto"/>
      </w:pPr>
      <w:r>
        <w:rPr>
          <w:rFonts w:ascii="Noto Sans CJK SC" w:hAnsi="Noto Sans CJK SC" w:eastAsia="Noto Sans CJK SC"/>
          <w:b/>
          <w:color w:val="17365D"/>
          <w:sz w:val="32"/>
        </w:rPr>
        <w:t>附录 B. 版本与使用说明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文档版本：V0.1。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整理日期：2026年9月8日。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本报告用于产品规划与IT项目管理前期分析，不等同于法律、合规或微信平台审核意见。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项目“不提供交易功能”的边界来自当前项目备案与上线策略，应在后续SRS、原型、数据库与测试用例中保持一致。</w:t>
      </w:r>
    </w:p>
    <w:p>
      <w:pPr>
        <w:pStyle w:val="ListBullet"/>
        <w:keepNext w:val="0"/>
        <w:spacing w:before="0" w:after="70" w:line="288" w:lineRule="auto"/>
      </w:pPr>
      <w:r>
        <w:rPr>
          <w:rFonts w:ascii="Noto Sans CJK SC" w:hAnsi="Noto Sans CJK SC" w:eastAsia="Noto Sans CJK SC"/>
          <w:color w:val="222222"/>
          <w:sz w:val="20"/>
        </w:rPr>
        <w:t>竞品功能变化较快，进入正式立项或答辩前建议再次复核关键竞品的最新版本。</w:t>
      </w:r>
    </w:p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7F7F"/>
        <w:sz w:val="17"/>
      </w:rPr>
      <w:t>广州大学城羽毛球智能组局与场馆数字化小程序 · 竞品分析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apps.apple.com/sg/app/%E8%B6%A3%E8%BF%90%E5%8A%A8-%E8%BF%90%E5%8A%A8%E5%9C%BA%E5%9C%B0%E9%A2%84%E8%AE%A2/id717619906" TargetMode="External"/><Relationship Id="rId11" Type="http://schemas.openxmlformats.org/officeDocument/2006/relationships/hyperlink" Target="https://m.quyundong.com/court/detail?cid=1&amp;id=18989" TargetMode="External"/><Relationship Id="rId12" Type="http://schemas.openxmlformats.org/officeDocument/2006/relationships/hyperlink" Target="https://m.quyundong.com/court/detail?cid=1&amp;id=26102" TargetMode="External"/><Relationship Id="rId13" Type="http://schemas.openxmlformats.org/officeDocument/2006/relationships/hyperlink" Target="https://silenceone.top/" TargetMode="External"/><Relationship Id="rId14" Type="http://schemas.openxmlformats.org/officeDocument/2006/relationships/hyperlink" Target="https://www.yunsports.net/tournamentProgramme.html" TargetMode="External"/><Relationship Id="rId15" Type="http://schemas.openxmlformats.org/officeDocument/2006/relationships/hyperlink" Target="https://apps.apple.com/cn/app/%E4%B8%AD%E7%BE%BD%E8%81%94/id1578165198" TargetMode="External"/><Relationship Id="rId16" Type="http://schemas.openxmlformats.org/officeDocument/2006/relationships/hyperlink" Target="https://apps.apple.com/cn/app/%E7%BE%BD%E7%BA%A6%E8%BF%90%E5%8A%A8/id14509147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