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40"/>
        <w:jc w:val="center"/>
      </w:pPr>
      <w:r>
        <w:drawing>
          <wp:inline>
            <wp:extent cx="5074920" cy="5633437"/>
            <wp:docPr id="1" name="Picture 1" descr="羽来羽毛球小程序形象图" title="羽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小程序头像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63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羽来技术架构设计和开发排期</w:t>
      </w:r>
    </w:p>
    <w:p>
      <w:pPr>
        <w:spacing w:after="80"/>
      </w:pPr>
      <w:r>
        <w:rPr>
          <w:sz w:val="26"/>
        </w:rPr>
        <w:t>V1工程基线与十二周试点计划 V0.1</w:t>
      </w:r>
    </w:p>
    <w:p>
      <w:r>
        <w:rPr>
          <w:color w:val="5A5A5A"/>
          <w:sz w:val="19"/>
        </w:rPr>
        <w:t>广东工业大学大学城校区体育馆试点  |  2026年9月8日</w:t>
      </w:r>
    </w:p>
    <w:p>
      <w:p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</w:p>
    <w:p>
      <w:pPr>
        <w:pStyle w:val="Heading1"/>
      </w:pPr>
      <w:r>
        <w:t>文档信息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601"/>
        <w:gridCol w:w="6687"/>
      </w:tblGrid>
      <w:tr>
        <w:trPr>
          <w:cantSplit/>
          <w:tblHeader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产品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羽来 微信小程序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版本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V0.1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日期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2026年9月8日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目标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为V1开发、联调、试点和长期演进提供可执行技术基线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首个试点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广东工业大学大学城校区体育馆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基线人力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1名全栈开发每周25至30小时，产品设计与测试兼职参与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计划周期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2026年9月14日至2026年12月6日，共12周</w:t>
            </w:r>
          </w:p>
        </w:tc>
      </w:tr>
    </w:tbl>
    <w:p>
      <w:pPr>
        <w:spacing w:after="0"/>
      </w:pPr>
    </w:p>
    <w:p>
      <w:pPr>
        <w:pStyle w:val="Heading1"/>
      </w:pPr>
      <w:r>
        <w:t>一 结论与边界</w:t>
      </w:r>
    </w:p>
    <w:p>
      <w:r>
        <w:t>羽来V1采用原生微信小程序、TypeScript模块化单体后端和PostgreSQL。服务端按业务模块拆分代码，但作为一个可部署应用运行。该方案能可靠处理名额竞争、候补递补、参与权限和比分版本冲突，同时保持部署和运维简单，适合当前人力及长期运营目标。</w:t>
      </w:r>
    </w:p>
    <w:p>
      <w:r>
        <w:t>V1的主闭环是发现球局、查看详情、创建球局、报名、候补、退出、变更确认和到场参与。组队与计分是创建球局时可选的现场功能，默认关闭。球局默认公开，也允许组织者改为仅链接可见。学校资料可填可不填，并允许后续修改或清空。</w:t>
      </w:r>
    </w:p>
    <w:p>
      <w:r>
        <w:t>V1不提供线上订场、订单、支付、AA收款、退款、钱包或平台结算。费用字段只展示线下说明。系统不直接复制第三方产品的等级文案，使用羽来自有的五档水平标签：不清楚、休闲、新手、进阶、对抗。</w:t>
      </w:r>
    </w:p>
    <w:p>
      <w:pPr>
        <w:pStyle w:val="Heading1"/>
      </w:pPr>
      <w:r>
        <w:t>二 设计目标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601"/>
        <w:gridCol w:w="6687"/>
      </w:tblGrid>
      <w:tr>
        <w:trPr>
          <w:cantSplit/>
          <w:tblHeader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V1验收口径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组局可靠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同一名额的并发报名不会超卖，重复请求不会重复占位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操作清楚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从首页到完成报名不超过三个主要页面，状态和失败原因可见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权限可信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只有正式参与者可录入比分，候补、退出者和外部用户不可录入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变更可追踪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关键球局变更、报名状态和比分修改保留审计记录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可运营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管理端可维护场馆、处理举报、下架内容和查看基础运营指标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可恢复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每日备份，有明确恢复流程；关键数据写入失败时不产生半完成状态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可演进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后续可增加更多场馆、俱乐部和智能排场，无需重写核心数据模型</w:t>
            </w:r>
          </w:p>
        </w:tc>
      </w:tr>
    </w:tbl>
    <w:p>
      <w:pPr>
        <w:spacing w:after="0"/>
      </w:pPr>
    </w:p>
    <w:p>
      <w:pPr>
        <w:pStyle w:val="Heading1"/>
      </w:pPr>
      <w:r>
        <w:t>三 已知假设与待复核项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当前决定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发布前复核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小程序主体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使用现有AppID继续开发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确认主体、服务类目、管理员和备案状态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部署地区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中国大陆云区域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完成域名、HTTPS、ICP备案及微信后台合法域名配置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登录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微信登录码由服务端换取用户标识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按最新微信开放文档复核接口参数与限额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通知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使用用户主动订阅的一次性服务通知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在公众平台确认可用模板、类目及触发规则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隐私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仅按功能最少收集昵称、头像、学校、联系方式等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上线前完成隐私保护指引、权限清单和删除账号流程核验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场馆数据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先维护广东工业大学大学城校区体育馆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试点前由场馆方或现场人员核验名称、地址、场地图和场地编号</w:t>
            </w:r>
          </w:p>
        </w:tc>
      </w:tr>
    </w:tbl>
    <w:p>
      <w:pPr>
        <w:spacing w:after="0"/>
      </w:pPr>
    </w:p>
    <w:p>
      <w:pPr>
        <w:pStyle w:val="Heading1"/>
      </w:pPr>
      <w:r>
        <w:t>四 总体架构</w:t>
      </w:r>
    </w:p>
    <w:p>
      <w:pPr>
        <w:pStyle w:val="Heading2"/>
      </w:pPr>
      <w:r>
        <w:t>4 1 架构视图</w:t>
      </w:r>
    </w:p>
    <w:p>
      <w:r>
        <w:t>用户通过微信小程序访问球局和现场功能。小程序只保存展示缓存和短期凭证，所有权限、名额和比分规则由服务端判定。服务端通过一个HTTPS API提供登录、用户、场馆、球局、报名、现场功能、通知和运营管理能力。PostgreSQL保存交易性业务数据，对象存储保存场馆图片和平面图，云日志和监控收集运行数据。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客户端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原生微信小程序 TypeScript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页面、表单、状态展示、订阅授权、弱网重试和本地缓存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运营端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轻量Web管理端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场馆维护、举报处理、内容下架、用户限制和指标查看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接口层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REST API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鉴权、参数校验、限流、幂等、错误码和版本管理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业务层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模块化单体服务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用户、场馆、球局、报名、现场、比分、通知、审核和审计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数据层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PostgreSQL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强一致数据、事务、唯一约束、行版本和查询索引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文件层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对象存储与CDN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场馆图、平面图、用户提交图片和缩略图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基础设施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托管容器或应用服务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HTTPS部署、自动发布、滚动更新和环境隔离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可观测性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日志、指标、告警和错误追踪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定位错误、监控接口和追踪关键业务失败</w:t>
            </w:r>
          </w:p>
        </w:tc>
      </w:tr>
    </w:tbl>
    <w:p>
      <w:pPr>
        <w:spacing w:after="0"/>
      </w:pPr>
    </w:p>
    <w:p>
      <w:pPr>
        <w:pStyle w:val="Heading2"/>
      </w:pPr>
      <w:r>
        <w:t>4 2 技术选型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小程序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原生框架加TypeScript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微信能力接入直接，包体可控，减少跨端框架兼容层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后端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Node.js LTS加TypeScript加NestJS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与前端共享语言，模块、校验、测试和依赖注入能力成熟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ORM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Prisma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迁移清晰，类型安全，适合PostgreSQL和小团队维护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数据库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托管PostgreSQL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关系和事务适合报名、候补、权限及审计数据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管理端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React加TypeScript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生态成熟，表格和表单组件充足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文件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云对象存储加CDN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降低应用服务器带宽和图片处理压力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测试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Vitest或Jest、Supertest、小程序开发者工具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覆盖领域规则、API集成和主流程冒烟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部署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Docker镜像加托管容器服务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环境一致，可回滚，可在规模扩大时水平扩容</w:t>
            </w:r>
          </w:p>
        </w:tc>
      </w:tr>
    </w:tbl>
    <w:p>
      <w:pPr>
        <w:spacing w:after="0"/>
      </w:pPr>
    </w:p>
    <w:p>
      <w:r>
        <w:t>当前不引入微服务、消息队列、搜索集群和Redis。通知任务先使用数据库任务表和单实例定时工作进程；当任务延迟、锁竞争或接口负载达到阈值时，再引入独立队列或Redis。这样能减少首版故障面，也保留演进路径。</w:t>
      </w:r>
    </w:p>
    <w:p>
      <w:pPr>
        <w:pStyle w:val="Heading1"/>
      </w:pPr>
      <w:r>
        <w:t>五 模块划分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V1优先级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Auth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微信登录码换取、会话、令牌刷新、封禁检查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User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昵称头像、可选学校、水平标签、联系方式和隐私设置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Venue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场馆、场地、地址、平面图、场地状态和运营维护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Activity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创建、编辑、公开或链接可见、取消、搜索和详情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Registration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报名、候补、退出、递补、容量和变更确认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Participation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到场、正式参与者集合和现场权限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Grouping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手动或随机分组、轮次和场地分配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可选功能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Scoring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比分录入、修订、冲突提示、锁定和审计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可选功能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Notification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订阅授权记录、提醒任务、发送结果和重试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Moderation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举报、内容下架、用户限制和操作审计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Analytics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漏斗、活跃、成局率、取消率和试点指标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基础版</w:t>
            </w:r>
          </w:p>
        </w:tc>
      </w:tr>
    </w:tbl>
    <w:p>
      <w:pPr>
        <w:spacing w:after="0"/>
      </w:pPr>
    </w:p>
    <w:p>
      <w:r>
        <w:t>模块之间只能通过公开服务接口调用，不直接读写其他模块的内部表。V1仍使用同一个代码仓库、数据库和部署单元，避免过早分布式化。</w:t>
      </w:r>
    </w:p>
    <w:p>
      <w:pPr>
        <w:pStyle w:val="Heading1"/>
      </w:pPr>
      <w:r>
        <w:t>六 数据设计</w:t>
      </w:r>
    </w:p>
    <w:p>
      <w:pPr>
        <w:pStyle w:val="Heading2"/>
      </w:pPr>
      <w:r>
        <w:t>6 1 核心实体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关键约束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User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id、openid_hash、nickname、avatar_url、school_id、level、status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openid对应关系唯一；school_id允许为空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School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id、name、status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名称规范化后唯一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Venue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id、name、address、geo、status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逻辑删除；试点场馆预置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Court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id、venue_id、name、floor_map_ref、status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同一场馆内场地名唯一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Activity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id、organizer_id、venue_id、title、start_at、end_at、capacity、visibility、status、grouping_enabled、scoring_enabled、version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时间合法；容量为正；默认公开；两个现场功能默认关闭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ActivityChange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id、activity_id、changed_by、before_json、after_json、created_at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关键变更全量留痕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Registration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id、activity_id、user_id、status、queue_no、joined_at、version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一人一局只有一条有效记录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Participant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id、activity_id、user_id、source、checked_in_at、status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正式参与权限的唯一事实来源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Round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id、activity_id、sequence、status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activity_id加sequence唯一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Match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id、round_id、court_id、status、locked_at、version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版本用于并发控制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MatchPlayer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match_id、user_id、side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每场每人唯一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ScoreRevision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id、match_id、revision_no、score_json、entered_by、reason、created_at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不覆盖历史；修订号单调递增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SubscriptionGrant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id、user_id、template_key、grant_status、granted_at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记录用户主动选择和可用次数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NotificationJob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id、user_id、activity_id、type、scheduled_at、status、attempts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幂等键避免重复发送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Report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id、reporter_id、target_type、target_id、reason、status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处理结果和操作者留痕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AuditLog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id、actor_id、action、object_type、object_id、metadata、created_at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仅追加写入</w:t>
            </w:r>
          </w:p>
        </w:tc>
      </w:tr>
    </w:tbl>
    <w:p>
      <w:pPr>
        <w:spacing w:after="0"/>
      </w:pPr>
    </w:p>
    <w:p>
      <w:pPr>
        <w:pStyle w:val="Heading2"/>
      </w:pPr>
      <w:r>
        <w:t>6 2 关键状态机</w:t>
      </w:r>
    </w:p>
    <w:p>
      <w:r>
        <w:t>球局状态为草稿、已发布、已取消、已结束和已下架。报名状态为已报名、候补、已退出、已拒绝和已递补。比赛状态为待开始、进行中、已完成和已锁定。</w:t>
      </w:r>
    </w:p>
    <w:p>
      <w:r>
        <w:t>状态变化必须由领域服务执行。客户端传来的status只作为请求意图，不能直接写数据库。取消球局、下架内容、结束后锁定比分等高影响动作要写入审计日志。</w:t>
      </w:r>
    </w:p>
    <w:p>
      <w:pPr>
        <w:pStyle w:val="Heading2"/>
      </w:pPr>
      <w:r>
        <w:t>6 3 并发与一致性</w:t>
      </w:r>
    </w:p>
    <w:p>
      <w:r>
        <w:t>报名接口在数据库事务中锁定球局容量行，计算当前有效报名数，再写入已报名或候补状态。接口接收Idempotency-Key，同一用户的重复点击或弱网重试返回同一结果。退出时按queue_no递补最早候补者，并在同一事务内完成状态变化和通知任务创建。</w:t>
      </w:r>
    </w:p>
    <w:p>
      <w:r>
        <w:t>比分写入使用乐观锁。客户端提交match_id、expected_version和比分；若版本已变化，服务端返回最新比分、修改人和修改时间，由用户确认后再次提交。每次修改新增ScoreRevision，不覆盖历史。球局结束后组织者可锁定，锁定后普通参与者不能继续修改；管理员仍可在有理由并审计的前提下纠正。</w:t>
      </w:r>
    </w:p>
    <w:p>
      <w:pPr>
        <w:pStyle w:val="Heading1"/>
      </w:pPr>
      <w:r>
        <w:t>七 关键业务流程</w:t>
      </w:r>
    </w:p>
    <w:p>
      <w:pPr>
        <w:pStyle w:val="Heading2"/>
      </w:pPr>
      <w:r>
        <w:t>7 1 登录</w:t>
      </w:r>
    </w:p>
    <w:p>
      <w:pPr>
        <w:ind w:left="317" w:hanging="317"/>
      </w:pPr>
      <w:r>
        <w:t xml:space="preserve">1. </w:t>
      </w:r>
      <w:r>
        <w:t>小程序调用微信登录能力取得短期code。</w:t>
      </w:r>
    </w:p>
    <w:p>
      <w:pPr>
        <w:ind w:left="317" w:hanging="317"/>
      </w:pPr>
      <w:r>
        <w:t xml:space="preserve">2. </w:t>
      </w:r>
      <w:r>
        <w:t>小程序把code发送到羽来服务端。</w:t>
      </w:r>
    </w:p>
    <w:p>
      <w:pPr>
        <w:ind w:left="317" w:hanging="317"/>
      </w:pPr>
      <w:r>
        <w:t xml:space="preserve">3. </w:t>
      </w:r>
      <w:r>
        <w:t>服务端调用微信服务端接口换取用户标识和会话信息，AppSecret只保存在服务端密钥管理中。</w:t>
      </w:r>
    </w:p>
    <w:p>
      <w:pPr>
        <w:ind w:left="317" w:hanging="317"/>
      </w:pPr>
      <w:r>
        <w:t xml:space="preserve">4. </w:t>
      </w:r>
      <w:r>
        <w:t>服务端创建或更新用户，签发短期访问令牌和可刷新会话。</w:t>
      </w:r>
    </w:p>
    <w:p>
      <w:pPr>
        <w:ind w:left="317" w:hanging="317"/>
      </w:pPr>
      <w:r>
        <w:t xml:space="preserve">5. </w:t>
      </w:r>
      <w:r>
        <w:t>后续请求由服务端根据令牌识别用户，永不接受客户端自报openid作为身份依据。</w:t>
      </w:r>
    </w:p>
    <w:p>
      <w:pPr>
        <w:pStyle w:val="Heading2"/>
      </w:pPr>
      <w:r>
        <w:t>7 2 发布与发现球局</w:t>
      </w:r>
    </w:p>
    <w:p>
      <w:r>
        <w:t>组织者填写时间、场馆、人数上限和截止时间。标题可自动生成，场地、水平、费用说明和联系方式可选。发布时visibility默认PUBLIC，grouping_enabled和scoring_enabled默认false。公开球局进入列表和搜索；仅链接可见球局只能通过有效链接进入，不出现在公共列表。</w:t>
      </w:r>
    </w:p>
    <w:p>
      <w:pPr>
        <w:pStyle w:val="Heading2"/>
      </w:pPr>
      <w:r>
        <w:t>7 3 报名与候补</w:t>
      </w:r>
    </w:p>
    <w:p>
      <w:r>
        <w:t>服务端校验球局状态、时间、截止时间、用户状态和重复报名。名额未满写入已报名；名额已满写入候补。退出后自动递补最早候补者。涉及人数的响应都返回服务端最终状态，客户端不自行推算成功。</w:t>
      </w:r>
    </w:p>
    <w:p>
      <w:pPr>
        <w:pStyle w:val="Heading2"/>
      </w:pPr>
      <w:r>
        <w:t>7 4 关键变更确认</w:t>
      </w:r>
    </w:p>
    <w:p>
      <w:r>
        <w:t>开始时间、场馆、取消和显著影响参与的变更会生成ActivityChange，并给正式参与者创建通知任务。参与者再次进入详情时看到变更摘要，可确认继续参加或退出。普通文案修正不强制确认。</w:t>
      </w:r>
    </w:p>
    <w:p>
      <w:pPr>
        <w:pStyle w:val="Heading2"/>
      </w:pPr>
      <w:r>
        <w:t>7 5 组队与计分</w:t>
      </w:r>
    </w:p>
    <w:p>
      <w:r>
        <w:t>只有活动开启对应开关时展示入口。组队V1支持组织者手动调整和简单随机分组。计分入口对正式参与者开放，候补、退出者和未报名用户不可用。录入人和每次修订可见；版本冲突必须先处理，不能静默覆盖。</w:t>
      </w:r>
    </w:p>
    <w:p>
      <w:pPr>
        <w:pStyle w:val="Heading1"/>
      </w:pPr>
      <w:r>
        <w:t>八 接口约定</w:t>
      </w:r>
    </w:p>
    <w:p>
      <w:pPr>
        <w:pStyle w:val="Heading2"/>
      </w:pPr>
      <w:r>
        <w:t>8 1 API风格</w:t>
      </w:r>
    </w:p>
    <w:p>
      <w:r>
        <w:t>统一前缀为/api/v1。请求和响应使用JSON，时间使用带时区ISO 8601，服务端存储UTC。所有写请求携带请求ID；需要幂等的接口还携带Idempotency-Key。错误返回稳定的业务码、用户可读信息和request_id，客户端不依赖自然语言判断错误类型。</w:t>
      </w:r>
    </w:p>
    <w:p>
      <w:pPr>
        <w:pStyle w:val="Heading2"/>
      </w:pPr>
      <w:r>
        <w:t>8 2 主要接口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方法与路径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 /auth/wechat-login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微信登录码换取羽来会话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公开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GET /me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当前用户资料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登录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PATCH /me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修改或清空学校、水平等资料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登录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GET /venues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场馆列表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公开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GET /venues/:id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场馆详情、场地与平面图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公开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GET /activities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公开球局搜索与分页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公开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 /activities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创建球局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登录且状态正常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GET /activities/:id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球局详情及当前用户状态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按可见性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PATCH /activities/:id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修改球局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组织者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 /activities/:id/registrations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报名或进入候补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登录且幂等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DELETE /activities/:id/registrations/me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退出并触发递补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本人且幂等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 /activities/:id/change-ack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确认关键变更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正式参与者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 /activities/:id/groups/generate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生成初始分组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组织者且功能开启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 /matches/:id/scores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新增比分修订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正式参与者且功能开启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 /matches/:id/lock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锁定比分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组织者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 /reports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举报用户或内容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登录</w:t>
            </w:r>
          </w:p>
        </w:tc>
      </w:tr>
    </w:tbl>
    <w:p>
      <w:pPr>
        <w:spacing w:after="0"/>
      </w:pPr>
    </w:p>
    <w:p>
      <w:pPr>
        <w:pStyle w:val="Heading2"/>
      </w:pPr>
      <w:r>
        <w:t>8 3 基础安全</w:t>
      </w:r>
    </w:p>
    <w:p>
      <w:r>
        <w:t>服务端进行对象级权限校验，不能只依赖页面隐藏按钮。登录、创建、报名、比分和举报接口分别限流。富文本和用户输入按白名单清洗，图片上传限制类型、大小和数量。AppSecret、数据库密码和对象存储密钥进入云密钥管理，不写入仓库、小程序包或日志。</w:t>
      </w:r>
    </w:p>
    <w:p>
      <w:pPr>
        <w:pStyle w:val="Heading1"/>
      </w:pPr>
      <w:r>
        <w:t>九 隐私与平台适配</w:t>
      </w:r>
    </w:p>
    <w:p>
      <w:r>
        <w:t>收集字段遵循功能最少原则。学校始终可选且可清空；联系方式默认仅正式参与者可见，服务端对不同身份返回不同字段。分析数据优先使用内部user_id，不把微信标识发送给第三方分析服务。用户可申请注销，业务表按法定和运营需要进行匿名化或删除，审计和安全记录执行单独留存策略。</w:t>
      </w:r>
    </w:p>
    <w:p>
      <w:r>
        <w:t>发布前必须在微信公众平台逐项核对隐私保护指引、涉及的接口或组件、服务类目、订阅消息模板、request合法域名、uploadFile合法域名及业务域名。订阅提醒只能在用户主动选择后使用，拒绝订阅不能阻断报名主流程。</w:t>
      </w:r>
    </w:p>
    <w:p>
      <w:pPr>
        <w:pStyle w:val="Heading1"/>
      </w:pPr>
      <w:r>
        <w:t>十 部署与运维</w:t>
      </w:r>
    </w:p>
    <w:p>
      <w:pPr>
        <w:pStyle w:val="Heading2"/>
      </w:pPr>
      <w:r>
        <w:t>10 1 环境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数据规则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Local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本机开发和单元测试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使用假用户和本地数据库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Test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API集成和自动化测试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每次可重建，不使用真实联系方式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Staging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体验版联调和验收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配置独立域名、数据库、对象存储和微信体验流程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Production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正式运营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最小权限、审计、备份、告警和受控发布</w:t>
            </w:r>
          </w:p>
        </w:tc>
      </w:tr>
    </w:tbl>
    <w:p>
      <w:pPr>
        <w:spacing w:after="0"/>
      </w:pPr>
    </w:p>
    <w:p>
      <w:pPr>
        <w:pStyle w:val="Heading2"/>
      </w:pPr>
      <w:r>
        <w:t>10 2 持续交付</w:t>
      </w:r>
    </w:p>
    <w:p>
      <w:r>
        <w:t>每次合并先执行格式检查、类型检查、单元测试、数据库迁移检查和API集成测试。通过后构建不可变Docker镜像并部署到Staging。生产发布使用同一镜像，先执行可向后兼容的数据库迁移，再滚动发布。保留上一版本镜像和回滚步骤。</w:t>
      </w:r>
    </w:p>
    <w:p>
      <w:pPr>
        <w:pStyle w:val="Heading2"/>
      </w:pPr>
      <w:r>
        <w:t>10 3 监控与恢复</w:t>
      </w:r>
    </w:p>
    <w:p>
      <w:r>
        <w:t>关键指标包括API成功率、P95延迟、登录失败率、报名冲突率、候补递补失败数、通知积压、比分冲突率和数据库连接数。严重错误同时记录request_id、用户内部ID、对象ID和操作阶段，不记录完整联系方式、微信会话密钥或访问令牌。</w:t>
      </w:r>
    </w:p>
    <w:p>
      <w:r>
        <w:t>生产数据库每日自动备份并保留至少14天，每周验证备份状态。试点前执行一次恢复演练，目标恢复点不超过24小时，目标恢复时间不超过4小时。场馆图片和配置文件启用版本或回收站策略。</w:t>
      </w:r>
    </w:p>
    <w:p>
      <w:pPr>
        <w:pStyle w:val="Heading1"/>
      </w:pPr>
      <w:r>
        <w:t>十一 非功能目标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V1目标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可用性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试点期月可用性99.5%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云监控和合成探测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性能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常用读取接口P95小于500毫秒，写接口P95小于800毫秒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Staging压测和生产监控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容量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支持1万注册用户、1000日活、100并发报名请求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以两倍试点预估量压测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一致性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报名不超容量；重复请求不重复报名；比分不静默覆盖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并发集成测试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安全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高风险依赖漏洞为零，密钥不入库，不越权访问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依赖扫描、密钥扫描和权限测试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恢复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RPO不超过24小时，RTO不超过4小时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恢复演练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兼容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覆盖当前微信基础库及一档向后兼容范围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真机矩阵测试</w:t>
            </w:r>
          </w:p>
        </w:tc>
      </w:tr>
    </w:tbl>
    <w:p>
      <w:pPr>
        <w:spacing w:after="0"/>
      </w:pPr>
    </w:p>
    <w:p>
      <w:r>
        <w:t>这些是V1工程目标，不是永久承诺。试点后根据真实流量和故障数据调整。</w:t>
      </w:r>
    </w:p>
    <w:p>
      <w:pPr>
        <w:pStyle w:val="Heading1"/>
      </w:pPr>
      <w:r>
        <w:t>十二 开发排期</w:t>
      </w:r>
    </w:p>
    <w:p>
      <w:pPr>
        <w:pStyle w:val="Heading2"/>
      </w:pPr>
      <w:r>
        <w:t>12 1 总体里程碑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可验收结果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M1 技术基线完成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2026年9月20日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仓库、环境、迁移、鉴权骨架和自动检查可运行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M2 组局主闭环完成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2026年10月18日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能创建、发现、报名、候补和退出，核心并发测试通过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M3 运营与通知完成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2026年11月1日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关键变更、提醒、管理端、隐私入口和举报流程可用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M4 可选现场功能完成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2026年11月15日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开启后可分组、录分、处理冲突并锁定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M5 试点候选版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2026年11月29日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通过联调、压测、恢复演练和试点场馆数据验收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M6 小范围试点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2026年12月6日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完成首周试点复盘并形成是否扩大范围的决定</w:t>
            </w:r>
          </w:p>
        </w:tc>
      </w:tr>
    </w:tbl>
    <w:p>
      <w:pPr>
        <w:spacing w:after="0"/>
      </w:pPr>
    </w:p>
    <w:p>
      <w:pPr>
        <w:pStyle w:val="Heading2"/>
      </w:pPr>
      <w:r>
        <w:t>12 2 周计划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周次与日期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开发重点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交付物与验收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W1 9月14日至20日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单仓库结构、环境变量、后端骨架、PostgreSQL、迁移、微信登录适配层、CI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Local和Test一键启动；登录桩和健康检查通过；首版ER图冻结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W2 9月21日至27日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用户、学校可选字段、场馆和场地模型、运营端登录与基础维护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学校可留空和清空；试点场馆可维护；对象级权限测试通过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W3 9月28日至10月4日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球局创建、编辑、状态机、默认公开和仅链接可见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两种可见性测试通过；现场功能默认关闭；非法状态变化被拒绝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W4 10月5日至11日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首页、搜索筛选、详情、分享链接、分页和缓存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从列表或分享进入详情；不可见内容不会泄露到公共列表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W5 10月12日至18日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报名、候补、退出、自动递补、幂等和并发测试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100并发请求不超容量；重复点击不重复占位；M2验收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W6 10月19日至25日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关键变更、参与确认、取消、到场、联系方式权限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变更有摘要和审计；候补或外部用户看不到受限联系方式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W7 10月26日至11月1日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订阅提醒任务、举报、下架、用户限制、基础运营指标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用户拒绝通知仍可报名；管理操作可追溯；M3验收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W8 11月2日至8日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可选组队、轮次、场地分配和组织者调整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关闭时无入口；开启后可生成并保存分组；异常参与人数可处理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W9 11月9日至15日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可选计分、参与者写入、比分修订、冲突提示和锁定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非参与者不可写；并发修改不静默覆盖；全部修订可追溯；M4验收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W10 11月16日至22日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端到端联调、弱网、边界和安全测试、性能优化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主流程真机通过；高风险依赖漏洞清零；压测达到目标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W11 11月23日至29日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生产配置、备份恢复演练、隐私与审核清单、场馆数据核验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RPO和RTO演练达标；发布清单签字；M5验收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W12 11月30日至12月6日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广东工业大学大学城校区体育馆小范围试点、每日监控和缺陷修复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输出成局率、报名转化、取消率、故障和反馈复盘；M6决策</w:t>
            </w:r>
          </w:p>
        </w:tc>
      </w:tr>
    </w:tbl>
    <w:p>
      <w:pPr>
        <w:spacing w:after="0"/>
      </w:pPr>
    </w:p>
    <w:p>
      <w:pPr>
        <w:pStyle w:val="Heading2"/>
      </w:pPr>
      <w:r>
        <w:t>12 3 人力分配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主要投入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关键责任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全栈开发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每周25至30小时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小程序、API、数据库、部署、自动化测试和线上问题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产品负责人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每周4至6小时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规则决策、验收、试点组织和指标复盘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设计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W2至W5每周3至5小时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关键页面、状态、错误和隐私提示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测试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W5后每周4至8小时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用例、真机、回归、弱网和试点验收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场馆联系人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W11至W12按需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场馆资料、场地编号、现场路线和试点协调</w:t>
            </w:r>
          </w:p>
        </w:tc>
      </w:tr>
    </w:tbl>
    <w:p>
      <w:pPr>
        <w:spacing w:after="0"/>
      </w:pPr>
    </w:p>
    <w:p>
      <w:r>
        <w:t>如果开发者可全职投入，W1至W9可以压缩约两周；若仅每周少于20小时，应优先延期组队和计分，不压缩主闭环、并发测试、隐私适配和恢复演练。</w:t>
      </w:r>
    </w:p>
    <w:p>
      <w:pPr>
        <w:pStyle w:val="Heading1"/>
      </w:pPr>
      <w:r>
        <w:t>十三 测试策略与发布门槛</w:t>
      </w:r>
    </w:p>
    <w:p>
      <w:pPr>
        <w:pStyle w:val="Heading2"/>
      </w:pPr>
      <w:r>
        <w:t>13 1 自动化重点</w:t>
      </w:r>
    </w:p>
    <w:p>
      <w:r>
        <w:t>不为简单页面样式编写脆弱测试。自动化集中覆盖容易造成数据错误或越权的规则：报名容量、重复请求、候补递补、可见性、联系方式权限、正式参与者权限、比分版本冲突、比分锁定和关键变更审计。</w:t>
      </w:r>
    </w:p>
    <w:p>
      <w:pPr>
        <w:pStyle w:val="Heading2"/>
      </w:pPr>
      <w:r>
        <w:t>13 2 发布门槛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601"/>
        <w:gridCol w:w="6687"/>
      </w:tblGrid>
      <w:tr>
        <w:trPr>
          <w:cantSplit/>
          <w:tblHeader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业务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创建到报名闭环、退出递补、取消和变更确认全部通过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并发报名、幂等和比分冲突测试通过，无已知数据损坏缺陷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权限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非参与者无法看受限联系方式或修改比分，普通用户无法调用管理接口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平台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合法域名、隐私保护指引、订阅模板、服务类目和体验版审核项已复核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运维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告警可触达，备份可恢复，回滚步骤在Staging演练通过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试点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场馆名称、地址、平面图、场地编号和现场联系人已核验</w:t>
            </w:r>
          </w:p>
        </w:tc>
      </w:tr>
    </w:tbl>
    <w:p>
      <w:pPr>
        <w:spacing w:after="0"/>
      </w:pPr>
    </w:p>
    <w:p>
      <w:pPr>
        <w:pStyle w:val="Heading1"/>
      </w:pPr>
      <w:r>
        <w:t>十四 风险与应对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136"/>
        <w:gridCol w:w="3622"/>
        <w:gridCol w:w="3530"/>
      </w:tblGrid>
      <w:tr>
        <w:trPr>
          <w:cantSplit/>
          <w:tblHeader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微信平台规则或接口变化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登录、通知或提审受阻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把平台接入封装成适配层；M5再次核对官方后台和文档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单人开发投入不足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里程碑延期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先保障组局主闭环；组队与计分可整体后移，不拆半成功能上线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报名高峰并发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超卖或重复占位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数据库事务、锁、唯一约束、幂等键和并发压测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参与者共同录分冲突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结果被覆盖或争议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乐观锁、版本提示、完整修订记录和组织者锁定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场馆资料不准确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现场体验差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试点前实地核验，管理端支持快速停用和修正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隐私收集过度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审核和信任风险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学校可选可清空；联系方式分级返回；上线前数据清单复核</w:t>
            </w:r>
          </w:p>
        </w:tc>
      </w:tr>
      <w:tr>
        <w:trPr>
          <w:cantSplit/>
        </w:trPr>
        <w:tc>
          <w:tcPr>
            <w:tcW w:type="dxa" w:w="2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通知授权率低</w:t>
            </w:r>
          </w:p>
        </w:tc>
        <w:tc>
          <w:tcPr>
            <w:tcW w:type="dxa" w:w="3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用户错过变更</w:t>
            </w:r>
          </w:p>
        </w:tc>
        <w:tc>
          <w:tcPr>
            <w:tcW w:type="dxa" w:w="35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详情页保留显著变更状态；通知是增强能力而非唯一通道</w:t>
            </w:r>
          </w:p>
        </w:tc>
      </w:tr>
    </w:tbl>
    <w:p>
      <w:pPr>
        <w:spacing w:after="0"/>
      </w:pPr>
    </w:p>
    <w:p>
      <w:pPr>
        <w:pStyle w:val="Heading1"/>
      </w:pPr>
      <w:r>
        <w:t>十五 后续技术演进触发条件</w:t>
      </w:r>
    </w:p>
    <w:p>
      <w:r>
        <w:t>只有满足可观测条件才增加基础设施。API单实例CPU持续超过60%或P95超目标时增加实例；数据库查询P95持续超过200毫秒时先优化索引和查询；通知任务积压超过五分钟且每周发生三次时引入专用队列；热点读取明显压垮数据库时再加入Redis；只有团队和业务边界扩大到单体部署阻碍独立发布时才拆服务。</w:t>
      </w:r>
    </w:p>
    <w:p>
      <w:pPr>
        <w:pStyle w:val="Heading1"/>
      </w:pPr>
      <w:r>
        <w:t>十六 本周立即执行清单</w:t>
      </w:r>
    </w:p>
    <w:p>
      <w:pPr>
        <w:ind w:left="317" w:hanging="317"/>
      </w:pPr>
      <w:r>
        <w:t xml:space="preserve">1. </w:t>
      </w:r>
      <w:r>
        <w:t>确认生产云账号、域名、主体和代码仓库权限。</w:t>
      </w:r>
    </w:p>
    <w:p>
      <w:pPr>
        <w:ind w:left="317" w:hanging="317"/>
      </w:pPr>
      <w:r>
        <w:t xml:space="preserve">2. </w:t>
      </w:r>
      <w:r>
        <w:t>建立apps/miniprogram、apps/api、apps/admin和packages/shared的单仓库结构。</w:t>
      </w:r>
    </w:p>
    <w:p>
      <w:pPr>
        <w:ind w:left="317" w:hanging="317"/>
      </w:pPr>
      <w:r>
        <w:t xml:space="preserve">3. </w:t>
      </w:r>
      <w:r>
        <w:t>完成PostgreSQL本地环境、首版迁移和种子数据，预置试点场馆为待核验状态。</w:t>
      </w:r>
    </w:p>
    <w:p>
      <w:pPr>
        <w:ind w:left="317" w:hanging="317"/>
      </w:pPr>
      <w:r>
        <w:t xml:space="preserve">4. </w:t>
      </w:r>
      <w:r>
        <w:t>建立微信登录适配接口和本地假登录，确保开发不依赖真实AppSecret。</w:t>
      </w:r>
    </w:p>
    <w:p>
      <w:pPr>
        <w:ind w:left="317" w:hanging="317"/>
      </w:pPr>
      <w:r>
        <w:t xml:space="preserve">5. </w:t>
      </w:r>
      <w:r>
        <w:t>为报名容量、候补递补和比分版本写领域级验收测试。</w:t>
      </w:r>
    </w:p>
    <w:p>
      <w:pPr>
        <w:ind w:left="317" w:hanging="317"/>
      </w:pPr>
      <w:r>
        <w:t xml:space="preserve">6. </w:t>
      </w:r>
      <w:r>
        <w:t>在项目看板建立W1至W12里程碑和每周验收门槛。</w:t>
      </w:r>
    </w:p>
    <w:p>
      <w:pPr>
        <w:pStyle w:val="Heading1"/>
      </w:pPr>
      <w:r>
        <w:t>附录 官方资料入口</w:t>
      </w:r>
    </w:p>
    <w:tbl>
      <w:tblPr>
        <w:tblW w:type="dxa" w:w="9288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type="dxa" w:w="100"/>
      </w:tblPr>
      <w:tblGrid>
        <w:gridCol w:w="2601"/>
        <w:gridCol w:w="6687"/>
      </w:tblGrid>
      <w:tr>
        <w:trPr>
          <w:cantSplit/>
          <w:tblHeader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4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官方入口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微信登录凭证校验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hyperlink r:id="rId11">
              <w:r>
                <w:rPr>
                  <w:color w:val="1F6B5C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小程序网络与合法域名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hyperlink r:id="rId12">
              <w:r>
                <w:rPr>
                  <w:color w:val="1F6B5C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订阅消息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hyperlink r:id="rId13">
              <w:r>
                <w:rPr>
                  <w:color w:val="1F6B5C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订阅消息客户端接口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hyperlink r:id="rId14">
              <w:r>
                <w:rPr>
                  <w:color w:val="1F6B5C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隐私授权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hyperlink r:id="rId15">
              <w:r>
                <w:rPr>
                  <w:color w:val="1F6B5C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腾讯云隐私适配说明</w:t>
            </w:r>
          </w:p>
        </w:tc>
        <w:tc>
          <w:tcPr>
            <w:tcW w:type="dxa" w:w="66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5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hyperlink r:id="rId16">
              <w:r>
                <w:rPr>
                  <w:color w:val="1F6B5C"/>
                  <w:u w:val="single"/>
                </w:rPr>
                <w:t>打开官方页面</w:t>
              </w:r>
            </w:hyperlink>
          </w:p>
        </w:tc>
      </w:tr>
    </w:tbl>
    <w:p>
      <w:pPr>
        <w:spacing w:after="0"/>
      </w:pPr>
    </w:p>
    <w:p>
      <w:r>
        <w:t>官方平台页面和后台配置可能调整。M5发布清单必须以届时微信公众平台和开放文档为准。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center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>
      <w:rPr>
        <w:color w:val="6E6E6E"/>
        <w:sz w:val="16"/>
      </w:rPr>
      <w:t>羽来  技术架构设计和开发排期  V0.1</w:t>
    </w:r>
    <w:r>
      <w:rPr>
        <w:color w:val="6E6E6E"/>
        <w:sz w:val="16"/>
      </w:rPr>
      <w:t>羽来  技术架构设计和开发排期  V0.1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288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ing1">
    <w:name w:val="heading 1"/>
    <w:basedOn w:val="Normal"/>
    <w:next w:val="Normal"/>
    <w:pPr>
      <w:keepNext/>
      <w:keepLines w:val="1"/>
      <w:spacing w:after="200" w:before="360" w:lineRule="auto"/>
    </w:pPr>
    <w:rPr>
      <w:rFonts w:ascii="Microsoft YaHei" w:cs="Helvetica Neue" w:eastAsia="Microsoft YaHei" w:hAnsi="Microsoft YaHei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 w:val="1"/>
      <w:spacing w:after="120" w:before="280" w:lineRule="auto"/>
    </w:pPr>
    <w:rPr>
      <w:rFonts w:ascii="Microsoft YaHei" w:cs="Helvetica Neue" w:eastAsia="Microsoft YaHei" w:hAnsi="Microsoft YaHei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rFonts w:ascii="Microsoft YaHei" w:hAnsi="Microsoft YaHei" w:eastAsia="Microsoft YaHei"/>
      <w:b w:val="1"/>
      <w:bCs w:val="1"/>
      <w:color w:val="000000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image" Target="media/image2.jpeg"/><Relationship Id="rId11" Type="http://schemas.openxmlformats.org/officeDocument/2006/relationships/hyperlink" Target="https://developers.weixin.qq.com/miniprogram/dev/OpenApiDoc/user-login/code2Session.html" TargetMode="External"/><Relationship Id="rId12" Type="http://schemas.openxmlformats.org/officeDocument/2006/relationships/hyperlink" Target="https://developers.weixin.qq.com/miniprogram/dev/framework/ability/network.html" TargetMode="External"/><Relationship Id="rId13" Type="http://schemas.openxmlformats.org/officeDocument/2006/relationships/hyperlink" Target="https://developers.weixin.qq.com/miniprogram/dev/framework/open-ability/subscribe-message.html" TargetMode="External"/><Relationship Id="rId14" Type="http://schemas.openxmlformats.org/officeDocument/2006/relationships/hyperlink" Target="https://developers.weixin.qq.com/miniprogram/dev/api/open-api/subscribe-message/wx.requestSubscribeMessage.html" TargetMode="External"/><Relationship Id="rId15" Type="http://schemas.openxmlformats.org/officeDocument/2006/relationships/hyperlink" Target="https://developers.weixin.qq.com/miniprogram/dev/framework/user-privacy/PrivacyAuthorize.html" TargetMode="External"/><Relationship Id="rId16" Type="http://schemas.openxmlformats.org/officeDocument/2006/relationships/hyperlink" Target="https://cloud.tencent.cn/document/product/1301/97930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羽来技术架构设计和开发排期 V0.1</dc:title>
  <cp:lastModifiedBy>python-docx</cp:lastModifiedBy>
  <cp:revision>1</cp:revision>
  <dcterms:modified xsi:type="dcterms:W3CDTF">2026-09-08T13:28:41Z</dcterms:modified>
  <dc:creator/>
</cp:coreProperties>
</file>