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674272" wp14:paraId="2C078E63" wp14:textId="219D8629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4C674272" w:rsidR="0155A86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TEAM ZENITHS</w:t>
      </w:r>
    </w:p>
    <w:p w:rsidR="4A6813D7" w:rsidP="4C674272" w:rsidRDefault="4A6813D7" w14:paraId="202E7F00" w14:textId="6619458D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4C674272" w:rsidR="4A6813D7">
        <w:rPr>
          <w:rFonts w:ascii="Cavolini" w:hAnsi="Cavolini" w:eastAsia="Cavolini" w:cs="Cavolini"/>
          <w:b w:val="1"/>
          <w:bCs w:val="1"/>
        </w:rPr>
        <w:t>Task 2:</w:t>
      </w:r>
    </w:p>
    <w:p w:rsidR="4A6813D7" w:rsidP="4C674272" w:rsidRDefault="4A6813D7" w14:paraId="6E40A802" w14:textId="0B17FCD5">
      <w:pPr>
        <w:spacing w:before="0" w:beforeAutospacing="off" w:after="0" w:afterAutospacing="off"/>
        <w:ind w:firstLine="1080"/>
      </w:pPr>
      <w:r w:rsidRPr="4C674272" w:rsidR="4A6813D7">
        <w:rPr>
          <w:rFonts w:ascii="Calibri" w:hAnsi="Calibri" w:eastAsia="Calibri" w:cs="Calibri"/>
          <w:noProof w:val="0"/>
          <w:color w:val="FF0000"/>
          <w:sz w:val="72"/>
          <w:szCs w:val="72"/>
          <w:lang w:val="en-US"/>
        </w:rPr>
        <w:t>COMPLEX PROBLEM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2292"/>
        <w:gridCol w:w="2570"/>
        <w:gridCol w:w="3627"/>
      </w:tblGrid>
      <w:tr w:rsidR="4C674272" w:rsidTr="4C674272" w14:paraId="330A7705">
        <w:trPr>
          <w:trHeight w:val="510"/>
        </w:trPr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5FA0B38C" w14:textId="75848442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24"/>
                <w:szCs w:val="24"/>
                <w:lang w:val="en-US"/>
              </w:rPr>
              <w:t>S.NO</w:t>
            </w:r>
          </w:p>
        </w:tc>
        <w:tc>
          <w:tcPr>
            <w:tcW w:w="2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5C2B31E2" w14:textId="5661417C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24"/>
                <w:szCs w:val="24"/>
                <w:lang w:val="en-US"/>
              </w:rPr>
              <w:t>APPLICATION DOMAIN</w:t>
            </w:r>
          </w:p>
        </w:tc>
        <w:tc>
          <w:tcPr>
            <w:tcW w:w="25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3484726D" w14:textId="546D7C81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24"/>
                <w:szCs w:val="24"/>
                <w:lang w:val="en-US"/>
              </w:rPr>
              <w:t>COMPLEX PROBLEM IDENTIFIED</w:t>
            </w:r>
          </w:p>
        </w:tc>
        <w:tc>
          <w:tcPr>
            <w:tcW w:w="36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685F186B" w14:textId="0EA23C14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24"/>
                <w:szCs w:val="24"/>
                <w:lang w:val="en-US"/>
              </w:rPr>
              <w:t>JUSTIFICATION</w:t>
            </w:r>
          </w:p>
        </w:tc>
      </w:tr>
      <w:tr w:rsidR="4C674272" w:rsidTr="4C674272" w14:paraId="6E403B69">
        <w:trPr>
          <w:trHeight w:val="1095"/>
        </w:trPr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4DD4A943" w14:textId="304A6B87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32"/>
                <w:szCs w:val="32"/>
                <w:lang w:val="en-US"/>
              </w:rPr>
              <w:t>1.</w:t>
            </w:r>
          </w:p>
        </w:tc>
        <w:tc>
          <w:tcPr>
            <w:tcW w:w="2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00E7F78B" w14:textId="6FA62637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Climate Change</w:t>
            </w:r>
          </w:p>
        </w:tc>
        <w:tc>
          <w:tcPr>
            <w:tcW w:w="25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7FFA94FA" w14:textId="766D3EDB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Global increase in temperatures due to greenhouse gas emissions</w:t>
            </w:r>
          </w:p>
        </w:tc>
        <w:tc>
          <w:tcPr>
            <w:tcW w:w="36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28B49A27" w14:textId="1448B3F7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Reduce emissions, transition to renewable energy, enhance climate resilience.</w:t>
            </w:r>
          </w:p>
        </w:tc>
      </w:tr>
      <w:tr w:rsidR="4C674272" w:rsidTr="4C674272" w14:paraId="4FE81725">
        <w:trPr>
          <w:trHeight w:val="2190"/>
        </w:trPr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04322C2E" w14:textId="7DC94A7F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sz w:val="32"/>
                <w:szCs w:val="32"/>
                <w:lang w:val="en-US"/>
              </w:rPr>
              <w:t>2.</w:t>
            </w:r>
          </w:p>
        </w:tc>
        <w:tc>
          <w:tcPr>
            <w:tcW w:w="2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00AF34FE" w14:textId="62084F10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Healthcare Access Inequality</w:t>
            </w:r>
          </w:p>
        </w:tc>
        <w:tc>
          <w:tcPr>
            <w:tcW w:w="25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4F458CF6" w14:textId="24B3CD43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Disparities in access to healthcare services based on geography, income, and social factors.</w:t>
            </w:r>
          </w:p>
        </w:tc>
        <w:tc>
          <w:tcPr>
            <w:tcW w:w="36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112CA666" w14:textId="5C6AE13A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Expand access through policy reforms, improve healthcare infrastructure, telemedicine.</w:t>
            </w:r>
          </w:p>
        </w:tc>
      </w:tr>
      <w:tr w:rsidR="4C674272" w:rsidTr="4C674272" w14:paraId="08E46F53">
        <w:trPr>
          <w:trHeight w:val="1275"/>
        </w:trPr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410FE3F3" w14:textId="31C0CA38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Arial Black" w:hAnsi="Arial Black" w:eastAsia="Arial Black" w:cs="Arial Black"/>
                <w:b w:val="1"/>
                <w:bCs w:val="1"/>
                <w:sz w:val="32"/>
                <w:szCs w:val="32"/>
                <w:lang w:val="en-US"/>
              </w:rPr>
              <w:t>3.</w:t>
            </w:r>
          </w:p>
        </w:tc>
        <w:tc>
          <w:tcPr>
            <w:tcW w:w="2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6C99C51E" w14:textId="0F934CCE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AI and Automation</w:t>
            </w:r>
          </w:p>
        </w:tc>
        <w:tc>
          <w:tcPr>
            <w:tcW w:w="25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73D62F20" w14:textId="05E38024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Rapid advancement in AI and automation technologies impacting job markets and ethical considerations.</w:t>
            </w:r>
          </w:p>
        </w:tc>
        <w:tc>
          <w:tcPr>
            <w:tcW w:w="36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674272" w:rsidP="4C674272" w:rsidRDefault="4C674272" w14:paraId="2BA2DD87" w14:textId="61920A54">
            <w:pPr>
              <w:spacing w:before="0" w:beforeAutospacing="off" w:after="0" w:afterAutospacing="off"/>
              <w:jc w:val="both"/>
            </w:pPr>
            <w:r w:rsidRPr="4C674272" w:rsidR="4C674272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Upskill workforce, ethical guidelines for AI, support for affected workers</w:t>
            </w:r>
          </w:p>
        </w:tc>
      </w:tr>
    </w:tbl>
    <w:p w:rsidR="4C674272" w:rsidP="4C674272" w:rsidRDefault="4C674272" w14:paraId="751AF4F9" w14:textId="375A75F6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C674272" w:rsidP="4C674272" w:rsidRDefault="4C674272" w14:paraId="3A5FD911" w14:textId="20C78AED">
      <w:pPr>
        <w:rPr>
          <w:rFonts w:ascii="Cavolini" w:hAnsi="Cavolini" w:eastAsia="Cavolini" w:cs="Cavolini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7D03C"/>
    <w:rsid w:val="0155A866"/>
    <w:rsid w:val="0A26DFCD"/>
    <w:rsid w:val="0B37D03C"/>
    <w:rsid w:val="26B8AD46"/>
    <w:rsid w:val="4A6813D7"/>
    <w:rsid w:val="4C674272"/>
    <w:rsid w:val="6022DE1C"/>
    <w:rsid w:val="7D5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03C"/>
  <w15:chartTrackingRefBased/>
  <w15:docId w15:val="{7F7FD863-E7C6-47CB-B54B-B39B01C559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2024-10-11T06:14:34.8321939Z</dcterms:created>
  <dcterms:modified xsi:type="dcterms:W3CDTF">2024-10-11T06:18:35.3889836Z</dcterms:modified>
  <dc:creator>kagita mathosh</dc:creator>
  <lastModifiedBy>kagita mathosh</lastModifiedBy>
</coreProperties>
</file>