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4</w:t>
      </w:r>
    </w:p>
    <w:p>
      <w:pPr>
        <w:pStyle w:val="Heading1"/>
        <w:spacing w:after="200" w:before="400"/>
      </w:pPr>
      <w:r>
        <w:rPr>
          <w:rFonts w:ascii="Arial" w:cs="Arial" w:eastAsia="Arial" w:hAnsi="Arial"/>
          <w:b/>
          <w:bCs/>
          <w:color w:val="1F4E79"/>
          <w:sz w:val="32"/>
          <w:szCs w:val="32"/>
        </w:rPr>
        <w:t xml:space="preserve">Mixing — Theory,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unit operations including mixing.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mixing equipment for solids and liquids.</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4.1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mixing and explain its importance in pharmaceutical manufacturing</w:t>
      </w:r>
    </w:p>
    <w:p>
      <w:pPr>
        <w:pStyle w:val="ListParagraph"/>
        <w:numPr>
          <w:ilvl w:val="0"/>
          <w:numId w:val="2"/>
        </w:numPr>
        <w:spacing w:after="60" w:before="60"/>
      </w:pPr>
      <w:r>
        <w:rPr>
          <w:rFonts w:ascii="Arial" w:cs="Arial" w:eastAsia="Arial" w:hAnsi="Arial"/>
          <w:sz w:val="22"/>
          <w:szCs w:val="22"/>
        </w:rPr>
        <w:t xml:space="preserve">Describe the theory of solid mixing — ideal mixing, mechanisms, and factors causing segregation</w:t>
      </w:r>
    </w:p>
    <w:p>
      <w:pPr>
        <w:pStyle w:val="ListParagraph"/>
        <w:numPr>
          <w:ilvl w:val="0"/>
          <w:numId w:val="2"/>
        </w:numPr>
        <w:spacing w:after="60" w:before="60"/>
      </w:pPr>
      <w:r>
        <w:rPr>
          <w:rFonts w:ascii="Arial" w:cs="Arial" w:eastAsia="Arial" w:hAnsi="Arial"/>
          <w:sz w:val="22"/>
          <w:szCs w:val="22"/>
        </w:rPr>
        <w:t xml:space="preserve">Explain the construction, working, advantages, disadvantages, and pharmaceutical applications of tumbling mixers (Double Cone, V-blender) and convective mixers (Ribbon blender, Sigma blade)</w:t>
      </w:r>
    </w:p>
    <w:p>
      <w:pPr>
        <w:pStyle w:val="ListParagraph"/>
        <w:numPr>
          <w:ilvl w:val="0"/>
          <w:numId w:val="2"/>
        </w:numPr>
        <w:spacing w:after="60" w:before="60"/>
      </w:pPr>
      <w:r>
        <w:rPr>
          <w:rFonts w:ascii="Arial" w:cs="Arial" w:eastAsia="Arial" w:hAnsi="Arial"/>
          <w:sz w:val="22"/>
          <w:szCs w:val="22"/>
        </w:rPr>
        <w:t xml:space="preserve">Describe the High-Shear Granulator (HSG) and its role in granulation and mixing</w:t>
      </w:r>
    </w:p>
    <w:p>
      <w:pPr>
        <w:pStyle w:val="ListParagraph"/>
        <w:numPr>
          <w:ilvl w:val="0"/>
          <w:numId w:val="2"/>
        </w:numPr>
        <w:spacing w:after="60" w:before="60"/>
      </w:pPr>
      <w:r>
        <w:rPr>
          <w:rFonts w:ascii="Arial" w:cs="Arial" w:eastAsia="Arial" w:hAnsi="Arial"/>
          <w:sz w:val="22"/>
          <w:szCs w:val="22"/>
        </w:rPr>
        <w:t xml:space="preserve">Explain mixing of liquids — impeller types, baffles, power number, and scale-up</w:t>
      </w:r>
    </w:p>
    <w:p>
      <w:pPr>
        <w:pStyle w:val="ListParagraph"/>
        <w:numPr>
          <w:ilvl w:val="0"/>
          <w:numId w:val="2"/>
        </w:numPr>
        <w:spacing w:after="60" w:before="60"/>
      </w:pPr>
      <w:r>
        <w:rPr>
          <w:rFonts w:ascii="Arial" w:cs="Arial" w:eastAsia="Arial" w:hAnsi="Arial"/>
          <w:sz w:val="22"/>
          <w:szCs w:val="22"/>
        </w:rPr>
        <w:t xml:space="preserve">Describe mixing equipment for semi-solids — planetary mixer, homogeniser</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4.2 Definition and Objectives of Mixing</w:t>
      </w:r>
    </w:p>
    <w:p>
      <w:pPr>
        <w:spacing w:after="80" w:before="80"/>
        <w:jc w:val="both"/>
      </w:pPr>
      <w:r>
        <w:rPr>
          <w:rFonts w:ascii="Arial" w:cs="Arial" w:eastAsia="Arial" w:hAnsi="Arial"/>
          <w:sz w:val="22"/>
          <w:szCs w:val="22"/>
        </w:rPr>
        <w:t xml:space="preserve">Mixing is the unit operation by which components in a heterogeneous system are made more homogeneous — i.e., the random distribution of one or more components throughout another is brought to a state approaching uniformity. In pharmaceutical manufacturing, perfect mixing (ideal mixing) would mean that every sample taken from any part of the mixture would have exactly the same composition as the whole.</w:t>
      </w:r>
    </w:p>
    <w:p>
      <w:pPr>
        <w:spacing w:after="80" w:before="80"/>
        <w:jc w:val="both"/>
      </w:pPr>
      <w:r>
        <w:rPr>
          <w:rFonts w:ascii="Arial" w:cs="Arial" w:eastAsia="Arial" w:hAnsi="Arial"/>
          <w:sz w:val="22"/>
          <w:szCs w:val="22"/>
        </w:rPr>
        <w:t xml:space="preserve">Objectives of mixing in pharmaceutical manufacturing:</w:t>
      </w:r>
    </w:p>
    <w:p>
      <w:pPr>
        <w:pStyle w:val="ListParagraph"/>
        <w:numPr>
          <w:ilvl w:val="0"/>
          <w:numId w:val="2"/>
        </w:numPr>
        <w:spacing w:after="60" w:before="60"/>
      </w:pPr>
      <w:r>
        <w:rPr>
          <w:rFonts w:ascii="Arial" w:cs="Arial" w:eastAsia="Arial" w:hAnsi="Arial"/>
          <w:sz w:val="22"/>
          <w:szCs w:val="22"/>
        </w:rPr>
        <w:t xml:space="preserve">Achieve content uniformity in tablet and capsule formulations — uniform distribution of API throughout the blend ensures each dose contains the correct amount of drug</w:t>
      </w:r>
    </w:p>
    <w:p>
      <w:pPr>
        <w:pStyle w:val="ListParagraph"/>
        <w:numPr>
          <w:ilvl w:val="0"/>
          <w:numId w:val="2"/>
        </w:numPr>
        <w:spacing w:after="60" w:before="60"/>
      </w:pPr>
      <w:r>
        <w:rPr>
          <w:rFonts w:ascii="Arial" w:cs="Arial" w:eastAsia="Arial" w:hAnsi="Arial"/>
          <w:sz w:val="22"/>
          <w:szCs w:val="22"/>
        </w:rPr>
        <w:t xml:space="preserve">Combine active ingredient with excipients — lubricants, glidants, binders, disintegrants — into a homogeneous blend suitable for compression or filling</w:t>
      </w:r>
    </w:p>
    <w:p>
      <w:pPr>
        <w:pStyle w:val="ListParagraph"/>
        <w:numPr>
          <w:ilvl w:val="0"/>
          <w:numId w:val="2"/>
        </w:numPr>
        <w:spacing w:after="60" w:before="60"/>
      </w:pPr>
      <w:r>
        <w:rPr>
          <w:rFonts w:ascii="Arial" w:cs="Arial" w:eastAsia="Arial" w:hAnsi="Arial"/>
          <w:sz w:val="22"/>
          <w:szCs w:val="22"/>
        </w:rPr>
        <w:t xml:space="preserve">Prepare homogeneous granulations — uniform distribution of binder solution throughout the wet mass in granulation</w:t>
      </w:r>
    </w:p>
    <w:p>
      <w:pPr>
        <w:pStyle w:val="ListParagraph"/>
        <w:numPr>
          <w:ilvl w:val="0"/>
          <w:numId w:val="2"/>
        </w:numPr>
        <w:spacing w:after="60" w:before="60"/>
      </w:pPr>
      <w:r>
        <w:rPr>
          <w:rFonts w:ascii="Arial" w:cs="Arial" w:eastAsia="Arial" w:hAnsi="Arial"/>
          <w:sz w:val="22"/>
          <w:szCs w:val="22"/>
        </w:rPr>
        <w:t xml:space="preserve">Prepare liquid formulations — uniform distribution of solute in solvent; suspension of insoluble particles</w:t>
      </w:r>
    </w:p>
    <w:p>
      <w:pPr>
        <w:pStyle w:val="ListParagraph"/>
        <w:numPr>
          <w:ilvl w:val="0"/>
          <w:numId w:val="2"/>
        </w:numPr>
        <w:spacing w:after="60" w:before="60"/>
      </w:pPr>
      <w:r>
        <w:rPr>
          <w:rFonts w:ascii="Arial" w:cs="Arial" w:eastAsia="Arial" w:hAnsi="Arial"/>
          <w:sz w:val="22"/>
          <w:szCs w:val="22"/>
        </w:rPr>
        <w:t xml:space="preserve">Prepare semi-solid formulations — creams, ointments, gels — uniform distribution of drug in base</w:t>
      </w:r>
    </w:p>
    <w:p>
      <w:pPr>
        <w:pStyle w:val="ListParagraph"/>
        <w:numPr>
          <w:ilvl w:val="0"/>
          <w:numId w:val="2"/>
        </w:numPr>
        <w:spacing w:after="60" w:before="60"/>
      </w:pPr>
      <w:r>
        <w:rPr>
          <w:rFonts w:ascii="Arial" w:cs="Arial" w:eastAsia="Arial" w:hAnsi="Arial"/>
          <w:sz w:val="22"/>
          <w:szCs w:val="22"/>
        </w:rPr>
        <w:t xml:space="preserve">Prepare dry syrups, oral powders, and inhaler blends — content uniformity is critical for dose accuracy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4.3 Theory of Solid Mixing</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4.3.1 Types of Mixing Mechanisms in Solids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200"/>
        <w:gridCol w:w="29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Mechanism</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Dominant In</w:t>
            </w:r>
          </w:p>
        </w:tc>
        <w:tc>
          <w:tcPr>
            <w:tcW w:type="dxa" w:w="2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Result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Convective mixing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Large-scale movement of groups of particles from one position to another — bulk mass transfer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Tumbling mixers (V-blender, double cone); ribbon blender</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Rapid macro-scale mixing; reduces large-scale non-uniformity quickly but may not achieve fine-scale homogeneity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Diffusive mixing</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Random movement of individual particles across a freshly formed surface — micro-scale randomisation</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Tumbling mixers at low fill levels; vibration assisted mixing</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Achieves fine-scale (micro-scale) mixing; slow process; follows diffusion kinetics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Shear mixing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Formation of slip planes within the powder mass; layers of particles slide over each other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High-shear granulators; ribbon blenders; sigma blade mixer</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Breaks up agglomerates; reduces particle size difference as mixing proceeds; intermediate scale mixing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4.3.2 Ideal Mixing — The Statistical Approach</w:t>
      </w:r>
    </w:p>
    <w:p>
      <w:pPr>
        <w:spacing w:after="80" w:before="80"/>
        <w:jc w:val="both"/>
      </w:pPr>
      <w:r>
        <w:rPr>
          <w:rFonts w:ascii="Arial" w:cs="Arial" w:eastAsia="Arial" w:hAnsi="Arial"/>
          <w:sz w:val="22"/>
          <w:szCs w:val="22"/>
        </w:rPr>
        <w:t xml:space="preserve">Lacey (1943) introduced the concept of mixing index to quantify the degree of mixing. For a random (ideal) mixture, the standard deviation of composition from sample to sample follows:</w:t>
      </w:r>
    </w:p>
    <w:p>
      <w:pPr>
        <w:shd w:fill="EBF3FB" w:val="clear"/>
        <w:spacing w:after="140" w:before="140"/>
        <w:jc w:val="center"/>
      </w:pPr>
      <w:r>
        <w:rPr>
          <w:rFonts w:ascii="Courier New" w:cs="Courier New" w:eastAsia="Courier New" w:hAnsi="Courier New"/>
          <w:b/>
          <w:bCs/>
          <w:color w:val="1F4E79"/>
          <w:sz w:val="24"/>
          <w:szCs w:val="24"/>
        </w:rPr>
        <w:t xml:space="preserve">σ_R² = p(1−p)/n</w:t>
      </w:r>
    </w:p>
    <w:p>
      <w:pPr>
        <w:spacing w:after="80" w:before="80"/>
        <w:jc w:val="both"/>
      </w:pPr>
      <w:r>
        <w:rPr>
          <w:rFonts w:ascii="Arial" w:cs="Arial" w:eastAsia="Arial" w:hAnsi="Arial"/>
          <w:sz w:val="22"/>
          <w:szCs w:val="22"/>
        </w:rPr>
        <w:t xml:space="preserve">Where σ_R = standard deviation of composition in a random (ideal) mixture; p = proportion of one component (e.g., drug fraction); n = number of particles per sample. For a completely unmixed system:</w:t>
      </w:r>
    </w:p>
    <w:p>
      <w:pPr>
        <w:shd w:fill="EBF3FB" w:val="clear"/>
        <w:spacing w:after="140" w:before="140"/>
        <w:jc w:val="center"/>
      </w:pPr>
      <w:r>
        <w:rPr>
          <w:rFonts w:ascii="Courier New" w:cs="Courier New" w:eastAsia="Courier New" w:hAnsi="Courier New"/>
          <w:b/>
          <w:bCs/>
          <w:color w:val="1F4E79"/>
          <w:sz w:val="24"/>
          <w:szCs w:val="24"/>
        </w:rPr>
        <w:t xml:space="preserve">σ_0² = p(1−p)</w:t>
      </w:r>
    </w:p>
    <w:p>
      <w:pPr>
        <w:spacing w:after="80" w:before="80"/>
        <w:jc w:val="both"/>
      </w:pPr>
      <w:r>
        <w:rPr>
          <w:rFonts w:ascii="Arial" w:cs="Arial" w:eastAsia="Arial" w:hAnsi="Arial"/>
          <w:sz w:val="22"/>
          <w:szCs w:val="22"/>
        </w:rPr>
        <w:t xml:space="preserve">Lacey Mixing Index M_L:</w:t>
      </w:r>
    </w:p>
    <w:p>
      <w:pPr>
        <w:shd w:fill="EBF3FB" w:val="clear"/>
        <w:spacing w:after="140" w:before="140"/>
        <w:jc w:val="center"/>
      </w:pPr>
      <w:r>
        <w:rPr>
          <w:rFonts w:ascii="Courier New" w:cs="Courier New" w:eastAsia="Courier New" w:hAnsi="Courier New"/>
          <w:b/>
          <w:bCs/>
          <w:color w:val="1F4E79"/>
          <w:sz w:val="24"/>
          <w:szCs w:val="24"/>
        </w:rPr>
        <w:t xml:space="preserve">M_L = (σ_0² − σ²) / (σ_0² − σ_R²)</w:t>
      </w:r>
    </w:p>
    <w:p>
      <w:pPr>
        <w:spacing w:after="80" w:before="80"/>
        <w:jc w:val="both"/>
      </w:pPr>
      <w:r>
        <w:rPr>
          <w:rFonts w:ascii="Arial" w:cs="Arial" w:eastAsia="Arial" w:hAnsi="Arial"/>
          <w:sz w:val="22"/>
          <w:szCs w:val="22"/>
        </w:rPr>
        <w:t xml:space="preserve">Where σ = standard deviation of actual mixture. M_L = 0 → completely unmixed; M_L = 1 → perfectly (randomly) mixed. In practice, a pharmaceutical blend is considered adequately mixed when the Relative Standard Deviation (RSD) of content uniformity assay is ≤ 2%.</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4.3.3 Segregation — The Enemy of Mixing</w:t>
      </w:r>
    </w:p>
    <w:p>
      <w:pPr>
        <w:spacing w:after="80" w:before="80"/>
        <w:jc w:val="both"/>
      </w:pPr>
      <w:r>
        <w:rPr>
          <w:rFonts w:ascii="Arial" w:cs="Arial" w:eastAsia="Arial" w:hAnsi="Arial"/>
          <w:sz w:val="22"/>
          <w:szCs w:val="22"/>
        </w:rPr>
        <w:t xml:space="preserve">Segregation is the unmixing process — the tendency of a powder blend to spontaneously separate into its individual components. It is the primary challenge in solid pharmaceutical mixing. Segregation occurs when:</w:t>
      </w:r>
    </w:p>
    <w:p>
      <w:pPr>
        <w:pStyle w:val="ListParagraph"/>
        <w:numPr>
          <w:ilvl w:val="0"/>
          <w:numId w:val="2"/>
        </w:numPr>
        <w:spacing w:after="60" w:before="60"/>
      </w:pPr>
      <w:r>
        <w:rPr>
          <w:rFonts w:ascii="Arial" w:cs="Arial" w:eastAsia="Arial" w:hAnsi="Arial"/>
          <w:sz w:val="22"/>
          <w:szCs w:val="22"/>
        </w:rPr>
        <w:t xml:space="preserve">Particle size difference: larger particles migrate to the top and periphery of a tumbling bed (percolation segregation) — the most common and problematic type in pharmacy</w:t>
      </w:r>
    </w:p>
    <w:p>
      <w:pPr>
        <w:pStyle w:val="ListParagraph"/>
        <w:numPr>
          <w:ilvl w:val="0"/>
          <w:numId w:val="2"/>
        </w:numPr>
        <w:spacing w:after="60" w:before="60"/>
      </w:pPr>
      <w:r>
        <w:rPr>
          <w:rFonts w:ascii="Arial" w:cs="Arial" w:eastAsia="Arial" w:hAnsi="Arial"/>
          <w:sz w:val="22"/>
          <w:szCs w:val="22"/>
        </w:rPr>
        <w:t xml:space="preserve">Density difference: denser particles settle and migrate downward (trajectory segregation)</w:t>
      </w:r>
    </w:p>
    <w:p>
      <w:pPr>
        <w:pStyle w:val="ListParagraph"/>
        <w:numPr>
          <w:ilvl w:val="0"/>
          <w:numId w:val="2"/>
        </w:numPr>
        <w:spacing w:after="60" w:before="60"/>
      </w:pPr>
      <w:r>
        <w:rPr>
          <w:rFonts w:ascii="Arial" w:cs="Arial" w:eastAsia="Arial" w:hAnsi="Arial"/>
          <w:sz w:val="22"/>
          <w:szCs w:val="22"/>
        </w:rPr>
        <w:t xml:space="preserve">Shape difference: irregular particles and spherical particles do not mix uniformly</w:t>
      </w:r>
    </w:p>
    <w:p>
      <w:pPr>
        <w:pStyle w:val="ListParagraph"/>
        <w:numPr>
          <w:ilvl w:val="0"/>
          <w:numId w:val="2"/>
        </w:numPr>
        <w:spacing w:after="60" w:before="60"/>
      </w:pPr>
      <w:r>
        <w:rPr>
          <w:rFonts w:ascii="Arial" w:cs="Arial" w:eastAsia="Arial" w:hAnsi="Arial"/>
          <w:sz w:val="22"/>
          <w:szCs w:val="22"/>
        </w:rPr>
        <w:t xml:space="preserve">Electrostatic effects: charged particles repel each other or adhere to vessel walls</w:t>
      </w:r>
    </w:p>
    <w:p>
      <w:pPr>
        <w:spacing w:after="80" w:before="80"/>
        <w:jc w:val="both"/>
      </w:pPr>
      <w:r>
        <w:rPr>
          <w:rFonts w:ascii="Arial" w:cs="Arial" w:eastAsia="Arial" w:hAnsi="Arial"/>
          <w:sz w:val="22"/>
          <w:szCs w:val="22"/>
        </w:rPr>
        <w:t xml:space="preserve">Prevention of segregation: minimise particle size and density differences between ingredients; use granulation (creates homogeneous granules each containing all ingredients); use ordered (adhesion) mixing for very potent drugs — drug particles adhere to surface of large carrier particles; minimise handling after mixing.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4.4 Tumbling Mixers</w:t>
      </w:r>
    </w:p>
    <w:p>
      <w:pPr>
        <w:pStyle w:val="Heading3"/>
        <w:spacing w:after="100" w:before="200"/>
      </w:pPr>
      <w:r>
        <w:rPr>
          <w:rFonts w:ascii="Arial" w:cs="Arial" w:eastAsia="Arial" w:hAnsi="Arial"/>
          <w:b/>
          <w:bCs/>
          <w:color w:val="2E75B6"/>
          <w:sz w:val="24"/>
          <w:szCs w:val="24"/>
        </w:rPr>
        <w:t xml:space="preserve">4.4.1 Double Cone Blender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Double Cone Blender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Tumbling motion animation, powder cascade, convective + diffusive mixing, pharmaceutical tablet blend applications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The double cone blender consists of two cones joined at their bases to form a double-cone shape. The vessel rotates about a horizontal axis — as it rotates, powder inside tumbles and cascades from one cone to the other, achieving mixing by a combination of convective and diffusive mechanisms.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Vessel (double cone body)</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Two identical cones joined base-to-base; total angle typically 70–90°; volume 5–3000 litres; cones made of SS 316L polished to Ra &lt; 0.8 µm for GMP compliance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Rotation axis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Horizontal axis through the widest point (equator) of the double cone; connected to drive shaft and motor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Drive system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Motor + gearbox; speed typically 6–25 rpm; variable speed control; interlock prevents opening during rotation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Loading/discharge port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Single port at the equator (widest point) or at one cone tip; used for both loading and discharging; fitted with butterfly valve or plug and O-ring seal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Spray system (optional)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Internal spray nozzle for liquid addition during mixing — binder solution addition for granulation; lubricant solution spraying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Charging man-way</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Top opening on one cone for manual loading of ingredients or bag-in/bag-out for potent compounds</w:t>
            </w:r>
          </w:p>
        </w:tc>
      </w:tr>
    </w:tbl>
    <w:p>
      <w:pPr>
        <w:spacing w:after="60" w:before="60"/>
      </w:pPr>
      <w:r>
        <w:t xml:space="preserve"/>
      </w:r>
    </w:p>
    <w:p>
      <w:pPr>
        <w:spacing w:after="80" w:before="80"/>
        <w:jc w:val="both"/>
      </w:pPr>
      <w:r>
        <w:rPr>
          <w:rFonts w:ascii="Arial" w:cs="Arial" w:eastAsia="Arial" w:hAnsi="Arial"/>
          <w:sz w:val="22"/>
          <w:szCs w:val="22"/>
        </w:rPr>
        <w:t xml:space="preserve">Working: Ingredients are loaded through the charging port. The vessel is sealed and rotated at 6–25 rpm. As it rotates through 360°, the powder mass alternately fills the two cones — tumbling and cascading from one cone to the other. The asymmetric tumbling action creates convective mixing (bulk powder movement between cones) and diffusive mixing (particle randomisation at the tumbling powder surface). The tumbling action is gentle — preserving granule integrity. Mixing time typically 10–30 minutes. After mixing, rotation is stopped with the discharge port at the bottom, and powder is discharged by gravity.</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Gentle tumbling action — does not break fragile granules; suitable for final tablet blend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Requires total vessel volume 50–60% filled for effective mixing — less efficient at other fill levels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Easy, complete discharge — gravity discharge through bottom port; very low product residue</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suitable for mixing materials with large differences in particle size and density — risk of segregation</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Easy cleaning and visual inspection — simple geometry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Mixing efficiency reduces with free-flowing powders of large density differences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Suitable for cohesive powders that tend to cake in other blenders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Cannot handle very large batch sizes as economically as continuous blenders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GMP-compliant polished SS316L construction; can be sterilised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Tumbling action insufficient for materials requiring shear (agglomerates)</w:t>
            </w:r>
          </w:p>
        </w:tc>
      </w:tr>
    </w:tbl>
    <w:p>
      <w:pPr>
        <w:pStyle w:val="ListParagraph"/>
        <w:numPr>
          <w:ilvl w:val="0"/>
          <w:numId w:val="2"/>
        </w:numPr>
        <w:spacing w:after="60" w:before="60"/>
      </w:pPr>
      <w:r>
        <w:rPr>
          <w:rFonts w:ascii="Arial" w:cs="Arial" w:eastAsia="Arial" w:hAnsi="Arial"/>
          <w:sz w:val="22"/>
          <w:szCs w:val="22"/>
        </w:rPr>
        <w:t xml:space="preserve">Applications: final tablet blend before compression (lubricant addition step — magnesium stearate blending uses double cone); capsule fill blending; dry powder mixing for oral sachets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4.4.2 V-Blender (Twin-Shell Blender)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V-Blender (Twin-Shell Blender)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V-shell tumbling motion, intensifier bar for cohesive powders, pharmaceutical tablet blend applications, scale comparison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The V-blender consists of two cylindrical shells joined at an angle of approximately 75–90° to form a V-shape. As the V rotates about a horizontal axis through its midpoint, powder alternately comes together at the vertex and separates into the two arms — this repeated splitting and recombining action achieves rapid, thorough mixing.</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V-shaped vessel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Two cylindrical shells of equal diameter and length joined at 75–90° angle; made of SS 316L; capacity 5–5000 litres for pharmaceutical use; polished interior Ra &lt; 0.8 µm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Rotation axis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Horizontal axis at the apex (vertex) of the V; vessel rotates at 6–25 rpm through complete rotation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Intensifier bar (optional)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High-speed rotating bar inside the V vessel; breaks up agglomerates and improves mixing of cohesive powders that resist mixing by tumbling alone; runs at 1000–3600 rpm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Loading port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Port(s) on the arms for material loading — typically one or both arms have charging valves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Discharge valve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Valve at the bottom of the vertex for gravity discharge when V-shell is inverted (vertex pointing down)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CIP spray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Spray ball at vertex for clean-in-place washing of interior after product change</w:t>
            </w:r>
          </w:p>
        </w:tc>
      </w:tr>
    </w:tbl>
    <w:p>
      <w:pPr>
        <w:spacing w:after="60" w:before="60"/>
      </w:pPr>
      <w:r>
        <w:t xml:space="preserve"/>
      </w:r>
    </w:p>
    <w:p>
      <w:pPr>
        <w:spacing w:after="80" w:before="80"/>
        <w:jc w:val="both"/>
      </w:pPr>
      <w:r>
        <w:rPr>
          <w:rFonts w:ascii="Arial" w:cs="Arial" w:eastAsia="Arial" w:hAnsi="Arial"/>
          <w:sz w:val="22"/>
          <w:szCs w:val="22"/>
        </w:rPr>
        <w:t xml:space="preserve">Working: Ingredients are loaded through the arm ports (typically 50–60% fill of total volume). The vessel is sealed and rotated. As the V rotates, powder streams alternately flow from the two arms into the vertex (coming together), then as rotation continues, the vertex rises and powder divides back into the two arms (separating). This repetitive splitting-recombination mechanism creates rapid, thorough mixing. Optional intensifier bar breaks agglomerates in cohesive powders. Discharge is gravity-assisted with vertex pointing downward. Mixing time 10–20 minutes typical.</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Rapid, efficient mixing — splitting-recombination mechanism more efficient than double cone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More difficult to clean than double cone — V-geometry can trap powder in vertex area</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Intensifier bar option handles cohesive powders that tumbling alone cannot mix</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Requires 50–60% fill for optimal mixing — volume restrictions similar to double cone</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shear — gentle on fragile granules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equipment cost than double cone of equivalent volume</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Easily scalable — same mixing principle from 5 L lab to 5000 L production</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Potential dead zone at vertex where powder is retained — clean-in-place essential</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GMP-compliant; widely used in pharmaceutical tablet blending</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dense powders with large particle size differences — segregation risk</w:t>
            </w:r>
          </w:p>
        </w:tc>
      </w:tr>
    </w:tbl>
    <w:p>
      <w:pPr>
        <w:pStyle w:val="ListParagraph"/>
        <w:numPr>
          <w:ilvl w:val="0"/>
          <w:numId w:val="2"/>
        </w:numPr>
        <w:spacing w:after="60" w:before="60"/>
      </w:pPr>
      <w:r>
        <w:rPr>
          <w:rFonts w:ascii="Arial" w:cs="Arial" w:eastAsia="Arial" w:hAnsi="Arial"/>
          <w:sz w:val="22"/>
          <w:szCs w:val="22"/>
        </w:rPr>
        <w:t xml:space="preserve">Applications: primary pharmaceutical tablet blend; mixing of API with excipients before granulation; final lubricant blending step (magnesium stearate); dry powder inhaler blend preparation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4.5 Convective Mixers</w:t>
      </w:r>
    </w:p>
    <w:p>
      <w:pPr>
        <w:pStyle w:val="Heading3"/>
        <w:spacing w:after="100" w:before="200"/>
      </w:pPr>
      <w:r>
        <w:rPr>
          <w:rFonts w:ascii="Arial" w:cs="Arial" w:eastAsia="Arial" w:hAnsi="Arial"/>
          <w:b/>
          <w:bCs/>
          <w:color w:val="2E75B6"/>
          <w:sz w:val="24"/>
          <w:szCs w:val="24"/>
        </w:rPr>
        <w:t xml:space="preserve">4.5.1 Ribbon Blender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Ribbon Blender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Inner and outer ribbon counter-rotation, end-to-end bulk flow, applications in large-scale pharmaceutical mixing</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The ribbon blender operates by convective mixing. A horizontal U-shaped trough contains a central shaft with a double helical ribbon (inner and outer ribbon) attached. The ribbons counter-rotate — outer ribbon moves material in one direction (end to end) and inner ribbon moves it in the opposite direction — creating complex three-dimensional convective flow.</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U-trough vessel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Horizontal U-shaped trough; made of SS 316L; capacity 50–50,000 litres; GMP polished interior; jacket available for temperature control</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Ribbon agitator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Double helical ribbon mounted on central horizontal shaft; outer ribbon and inner ribbon have opposite helical direction (pitch) — creates opposing axial flows for mixing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Drive shaft and bearings</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Central horizontal shaft driven by motor through gearbox; shaft speed typically 30–100 rpm; end-mounted bearings or stuffing box seals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Discharge valve</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Full-width discharge valve at the bottom centre of trough; allows complete discharge with minimal residue; flush-bottom design for GMP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inlet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Top of trough; may have multiple inlets for adding different ingredients; hinged covers for access and cleaning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Spray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Optional spray bar above the ribbon agitator for liquid binder addition in granulation applications</w:t>
            </w:r>
          </w:p>
        </w:tc>
      </w:tr>
    </w:tbl>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 capacity — suitable for very large batch sizes (up to 50,000 L)</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shear than tumbling mixers — not ideal for very fragile granules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Continuous operation possible — material fed at one end, discharged at other</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Longer cleaning time — complex ribbon geometry has many surfaces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wet and dry mixing — widely used in granulation and powder mixing</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Horizontal design takes more floor space than vertical mixers of same volume</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Relatively uniform mixing across batch</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Dead zones at shaft ends and corners — material can accumulate</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cohesive, dense, and free-flowing powders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as gentle as tumbling mixers — some particle attrition and granule breakage possible</w:t>
            </w:r>
          </w:p>
        </w:tc>
      </w:tr>
    </w:tbl>
    <w:p>
      <w:pPr>
        <w:pStyle w:val="ListParagraph"/>
        <w:numPr>
          <w:ilvl w:val="0"/>
          <w:numId w:val="2"/>
        </w:numPr>
        <w:spacing w:after="60" w:before="60"/>
      </w:pPr>
      <w:r>
        <w:rPr>
          <w:rFonts w:ascii="Arial" w:cs="Arial" w:eastAsia="Arial" w:hAnsi="Arial"/>
          <w:sz w:val="22"/>
          <w:szCs w:val="22"/>
        </w:rPr>
        <w:t xml:space="preserve">Applications: large-scale dry blending of tablet excipients; mixing of animal feed supplements and nutraceuticals; preparation of granulation blends; premixing of excipients before API addition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4.5.2 Sigma Blade Mixer (Double Arm Kneader)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Sigma Blade Mixer — Double Arm Kneader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Counter-rotating sigma blades, intensive shear kneading, stiff mass mixing, pharmaceutical ointment and stiff granulation applications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The sigma blade mixer uses intensive shear mixing. Two sigma (S-shaped) blades rotate counter-currently on horizontal parallel axes in a W-shaped trough. Material is repeatedly lifted, folded, stretched, and compressed between and around the blades. This intensive shear and kneading action is highly effective for viscous, stiff, and semi-plastic materials.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W-trough vessel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W-shaped (two-cylinder section) horizontal vessel; SS 316L; jacket for heating or cooling; covers for contained operation; capacity 1–5000 litres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Sigma blades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Two S-shaped (sigma) blades on parallel horizontal shafts; rotate counter-currently toward each other at top and away from each other at bottom; front blade typically rotates at 1.5× rear blade speed for added shear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Drive system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Two separate motors or one motor with gearing; blade speed 10–80 rpm; heavy-duty drive for viscous materials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Discharge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Tilting vessel (full tilt discharge) or screw extruder at base; some models have knife blade for cutting viscous mass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 control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Jacketed vessel walls with hot water, steam, or chilled water; thermocouple for temperature monitoring; critical for thermoplastic or wax-based formulations</w:t>
            </w:r>
          </w:p>
        </w:tc>
      </w:tr>
    </w:tbl>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very viscous, stiff, and semi-plastic materials that other mixers cannot process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intensive shear — not suitable for fragile granules or shear-sensitive materials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Intensive kneading action gives thorough mixing of difficult materials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Slow — batch times of 30–120 minutes for stiff materials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Heated jacket allows processing of wax-based and thermoplastic materials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Complex cleaning — sigma blades and W-trough have many surfaces and crevices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Jacketed vessel for both heating and cooling during mixing</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energy consumption for viscous materials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 mix, knead, and granulate in one vessel</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free-flowing dry powders — must have some viscosity/plasticity</w:t>
            </w:r>
          </w:p>
        </w:tc>
      </w:tr>
    </w:tbl>
    <w:p>
      <w:pPr>
        <w:pStyle w:val="ListParagraph"/>
        <w:numPr>
          <w:ilvl w:val="0"/>
          <w:numId w:val="2"/>
        </w:numPr>
        <w:spacing w:after="60" w:before="60"/>
      </w:pPr>
      <w:r>
        <w:rPr>
          <w:rFonts w:ascii="Arial" w:cs="Arial" w:eastAsia="Arial" w:hAnsi="Arial"/>
          <w:sz w:val="22"/>
          <w:szCs w:val="22"/>
        </w:rPr>
        <w:t xml:space="preserve">Applications: preparation of thick ointment and cream bases; mixing of rubber-based tablet matrix materials; preparation of stiff granulation masses (paste granulation); mixing of wax-based sustained-release matrix materials; confectionery applications (dough, paste mixing)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4.6 High-Shear Granulator (HSG)</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High-Shear Granulator (HSG)</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Impeller + chopper mixing mechanism, wet granulation end-point detection by impeller torque, pharmaceutical wet granulation process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The High-Shear Granulator (HSG) is one of the most important mixing and granulation equipment in pharmaceutical manufacturing. It combines intensive mixing and wet granulation in a single vessel — the impeller rotates rapidly to mix and granulate the powder, while the chopper blade breaks up agglomerates.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4.6.1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Main vessel (bowl)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Cylindrical or conical vessel; SS 316L highly polished; bowl sizes 1–600 litres; mounted on sturdy base; fully enclosed for contained operation of potent compounds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Main impeller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2–4 blade impeller at the bottom of the bowl; rotates at 100–500 rpm (variable speed); creates the primary mixing and granulation action; blade tip speed 3–12 m/s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Chopper (side chopper)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High-speed cutting blade mounted on the side wall; rotates at 1000–3600 rpm; breaks up large agglomerates; located 1/3 from the base for optimal agglomerate destruction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Liquid addition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Spray nozzle above the powder bed for binder solution addition; peristaltic pump controls addition rate; atomisation for uniform liquid distribution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Discharge port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Tangential discharge port in side wall at bowl base level; driven by gravity or scraper blade; large discharge valve for rapid bowl emptying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Instrumentation</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Impeller torque/power monitoring (end-point detection); temperature probe; motor current measurement; all critical parameters logged for GMP compliance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4.6.2 Working — HSG Wet Granulation Process</w:t>
      </w:r>
    </w:p>
    <w:p>
      <w:pPr>
        <w:spacing w:after="80" w:before="80"/>
        <w:jc w:val="both"/>
      </w:pPr>
      <w:r>
        <w:rPr>
          <w:rFonts w:ascii="Arial" w:cs="Arial" w:eastAsia="Arial" w:hAnsi="Arial"/>
          <w:sz w:val="22"/>
          <w:szCs w:val="22"/>
        </w:rPr>
        <w:t xml:space="preserve">Stage 1 — Dry mixing: All dry powders (API + excipients) loaded into the bowl. Main impeller runs at low speed (100–200 rpm) for 2–5 minutes — thorough dry blend achieved. Chopper at low speed to break any lumps.</w:t>
      </w:r>
    </w:p>
    <w:p>
      <w:pPr>
        <w:spacing w:after="80" w:before="80"/>
        <w:jc w:val="both"/>
      </w:pPr>
      <w:r>
        <w:rPr>
          <w:rFonts w:ascii="Arial" w:cs="Arial" w:eastAsia="Arial" w:hAnsi="Arial"/>
          <w:sz w:val="22"/>
          <w:szCs w:val="22"/>
        </w:rPr>
        <w:t xml:space="preserve">Stage 2 — Binder addition: Binder solution (PVP, HPMC, starch paste) added through spray nozzle while impeller continues at low-medium speed. Rate of addition is controlled to prevent localised over-wetting.</w:t>
      </w:r>
    </w:p>
    <w:p>
      <w:pPr>
        <w:spacing w:after="80" w:before="80"/>
        <w:jc w:val="both"/>
      </w:pPr>
      <w:r>
        <w:rPr>
          <w:rFonts w:ascii="Arial" w:cs="Arial" w:eastAsia="Arial" w:hAnsi="Arial"/>
          <w:sz w:val="22"/>
          <w:szCs w:val="22"/>
        </w:rPr>
        <w:t xml:space="preserve">Stage 3 — Wet massing (granulation): After binder addition, impeller speed increased to 200–500 rpm; chopper to high speed (1000–3600 rpm). Intense shear creates granules from the wet powder mass. Granule size and porosity determined by impeller speed, binder amount, massing time, and binder viscosity.</w:t>
      </w:r>
    </w:p>
    <w:p>
      <w:pPr>
        <w:spacing w:after="80" w:before="80"/>
        <w:jc w:val="both"/>
      </w:pPr>
      <w:r>
        <w:rPr>
          <w:rFonts w:ascii="Arial" w:cs="Arial" w:eastAsia="Arial" w:hAnsi="Arial"/>
          <w:sz w:val="22"/>
          <w:szCs w:val="22"/>
        </w:rPr>
        <w:t xml:space="preserve">Stage 4 — End-point detection: Granulation endpoint detected by monitoring impeller power consumption (torque). As granules grow, viscosity increases — impeller requires more power. The torque curve shows characteristic patterns for under-granulation, optimal granulation, and over-granulation (over-wet lump formation). Optimal endpoint = target torque value established during development.</w:t>
      </w:r>
    </w:p>
    <w:p>
      <w:pPr>
        <w:spacing w:after="80" w:before="80"/>
        <w:jc w:val="both"/>
      </w:pPr>
      <w:r>
        <w:rPr>
          <w:rFonts w:ascii="Arial" w:cs="Arial" w:eastAsia="Arial" w:hAnsi="Arial"/>
          <w:sz w:val="22"/>
          <w:szCs w:val="22"/>
        </w:rPr>
        <w:t xml:space="preserve">Stage 5 — Discharge: Granules discharged through tangential port into fluid bed dryer.</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4.6.3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Combines mixing and granulation in one vessel — reduces transfer steps and contamination risk</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shear — not suitable for shear-sensitive, thermolabile, or highly potent APIs without containment</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Shorter processing time than conventional wet granulation (30–60 min vs. 2–4 hr)</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Scale-up challenging — impeller tip speed, power per unit volume, and spray rate must be re-optimised at each scale</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Produces dense, robust granules with good flowability and compressibility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cost than tumbling or ribbon blenders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Closed system — suitable for contained operation of potent compounds with appropriate interlocks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Over-wetting can occur rapidly if binder addition is poorly controlled</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End-point detection by torque monitoring enables reproducible granulation</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Cleaning validation complex — spray nozzle, impeller, chopper, and bowl all require validated cleaning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4.7 Liquid Mixing — Impellers and Baffles</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Liquid Mixing — Impellers, Baffles, and Turbulent Flow</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Laminar vs turbulent mixing, impeller types (paddle, turbine, propeller), baffle function, Reynolds number for mixing, pharmaceutical liquid mixing</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Liquid mixing is achieved by mechanical agitation using impellers (agitators) in a vessel fitted with baffles. The objectives are to disperse one liquid into another, dissolve solids, achieve heat transfer, and maintain suspension of insoluble particles.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4.7.1 Impeller Types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32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Impeller Type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Design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Flow Pattern</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Paddle impeller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Flat blades at an angle on horizontal shaft; simplest design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Tangential and radial flow; creates swirling circular motion; baffles needed to prevent vortex</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Gentle mixing of viscous liquids; dissolution of easily soluble materials; heat transfer with jacketed vessel</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Turbine impeller (Rushton turbine)</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Multiple flat vertical blades on horizontal disc; most common for GMP vessels</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Radial flow pattern; high shear; creates strong vortex; 4–6 vertical blades standard</w:t>
            </w:r>
          </w:p>
        </w:tc>
        <w:tc>
          <w:tcPr>
            <w:tcW w:type="dxa" w:w="3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Liquid-liquid mixing; dissolving fine solids; fermentation (oxygen transfer); strong mixing in low-viscosity liquids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Propeller impeller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Marine propeller shape; 2–4 blades; angled for axial flow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Axial (top-to-bottom) flow; gentle, high-volume circulation; low shear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Large-volume blending of miscible liquids; suspension maintenance; heat transfer; API dissolution in large tanks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Anchor impeller</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Large C-shaped blade conforming closely to vessel wall</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Sweeps vessel wall; prevents wall deposition</w:t>
            </w:r>
          </w:p>
        </w:tc>
        <w:tc>
          <w:tcPr>
            <w:tcW w:type="dxa" w:w="3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Mixing of very viscous materials; creams and ointments; jacket heat transfer in viscous products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Helical ribbon impeller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Double helical ribbon on central shaft inside vessel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Strong axial top-to-bottom and bottom-to-top circulation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viscous liquids; polymer solutions; ointment bases; continuous mixing of thick semi-solids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4.7.2 Baffles and Their Function</w:t>
      </w:r>
    </w:p>
    <w:p>
      <w:pPr>
        <w:spacing w:after="80" w:before="80"/>
        <w:jc w:val="both"/>
      </w:pPr>
      <w:r>
        <w:rPr>
          <w:rFonts w:ascii="Arial" w:cs="Arial" w:eastAsia="Arial" w:hAnsi="Arial"/>
          <w:sz w:val="22"/>
          <w:szCs w:val="22"/>
        </w:rPr>
        <w:t xml:space="preserve">Baffles are vertical plates fixed to the inside wall of the mixing vessel. Without baffles, liquid rotates as a solid body with the impeller (tangential flow) — creating a deep central vortex but little actual mixing. Baffles break up the rotational flow, converting it into turbulent, radial-axial flow — dramatically improving mixing efficiency.</w:t>
      </w:r>
    </w:p>
    <w:p>
      <w:pPr>
        <w:pStyle w:val="ListParagraph"/>
        <w:numPr>
          <w:ilvl w:val="0"/>
          <w:numId w:val="2"/>
        </w:numPr>
        <w:spacing w:after="60" w:before="60"/>
      </w:pPr>
      <w:r>
        <w:rPr>
          <w:rFonts w:ascii="Arial" w:cs="Arial" w:eastAsia="Arial" w:hAnsi="Arial"/>
          <w:sz w:val="22"/>
          <w:szCs w:val="22"/>
        </w:rPr>
        <w:t xml:space="preserve">Standard baffles: 4 vertical plates at 90° intervals; width = 8–10% of vessel diameter; extend from top to bottom of liquid level</w:t>
      </w:r>
    </w:p>
    <w:p>
      <w:pPr>
        <w:pStyle w:val="ListParagraph"/>
        <w:numPr>
          <w:ilvl w:val="0"/>
          <w:numId w:val="2"/>
        </w:numPr>
        <w:spacing w:after="60" w:before="60"/>
      </w:pPr>
      <w:r>
        <w:rPr>
          <w:rFonts w:ascii="Arial" w:cs="Arial" w:eastAsia="Arial" w:hAnsi="Arial"/>
          <w:sz w:val="22"/>
          <w:szCs w:val="22"/>
        </w:rPr>
        <w:t xml:space="preserve">With baffles: power number increases ~5× compared to unbaffled vessel at same impeller speed; mixing time reduces significantly</w:t>
      </w:r>
    </w:p>
    <w:p>
      <w:pPr>
        <w:pStyle w:val="ListParagraph"/>
        <w:numPr>
          <w:ilvl w:val="0"/>
          <w:numId w:val="2"/>
        </w:numPr>
        <w:spacing w:after="60" w:before="60"/>
      </w:pPr>
      <w:r>
        <w:rPr>
          <w:rFonts w:ascii="Arial" w:cs="Arial" w:eastAsia="Arial" w:hAnsi="Arial"/>
          <w:sz w:val="22"/>
          <w:szCs w:val="22"/>
        </w:rPr>
        <w:t xml:space="preserve">Baffles are standard GMP requirement in all pharmaceutical mixing vessels &gt; 200 L</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4.7.3 Reynolds Number for Mixing</w:t>
      </w:r>
    </w:p>
    <w:p>
      <w:pPr>
        <w:shd w:fill="EBF3FB" w:val="clear"/>
        <w:spacing w:after="140" w:before="140"/>
        <w:jc w:val="center"/>
      </w:pPr>
      <w:r>
        <w:rPr>
          <w:rFonts w:ascii="Courier New" w:cs="Courier New" w:eastAsia="Courier New" w:hAnsi="Courier New"/>
          <w:b/>
          <w:bCs/>
          <w:color w:val="1F4E79"/>
          <w:sz w:val="24"/>
          <w:szCs w:val="24"/>
        </w:rPr>
        <w:t xml:space="preserve">Re_mixing = (N × D² × ρ) / µ</w:t>
      </w:r>
    </w:p>
    <w:p>
      <w:pPr>
        <w:spacing w:after="80" w:before="80"/>
        <w:jc w:val="both"/>
      </w:pPr>
      <w:r>
        <w:rPr>
          <w:rFonts w:ascii="Arial" w:cs="Arial" w:eastAsia="Arial" w:hAnsi="Arial"/>
          <w:sz w:val="22"/>
          <w:szCs w:val="22"/>
        </w:rPr>
        <w:t xml:space="preserve">Where N = impeller speed (rev/s); D = impeller diameter (m); ρ = liquid density (kg/m³); µ = dynamic viscosity (Pa·s). Re &lt; 10 = laminar mixing; Re 10–10,000 = transition; Re &gt; 10,000 = fully turbulent mixing. Pharmaceutical liquid mixing targets turbulent regime for rapid, uniform mixing.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4.8 Mixing of Semi-Solids — Planetary Mixer and Homogeniser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Semi-solid Mixing — Planetary Mixer and Homogeniser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Planetary motion of mixing paddle, homogeniser rotor-stator mechanism, cream and ointment manufacturing process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300"/>
        <w:gridCol w:w="280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Equipment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2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Construction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Planetary mixer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Mixing attachment rotates on its own axis AND revolves around the central axis of the bowl (like a planet) — reaches all parts of bowl without stationary zones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Stainless steel bowl (5–600 L); interchangeable attachments: flat paddle (creams), dough hook (stiff bases), wire whip (emulsions); bowl lifts to engage attachment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Preparation of cream bases; ointments; suppository masses; stiff granulations; cosmetic products</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Homogeniser (rotor-stator)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Rotor spinning at high speed (3,000–15,000 rpm) inside close-fitting stator; product drawn into the gap and subjected to intense mechanical and hydraulic shear; droplet size reduced</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Rotor-stator pair; 0.1–0.5 mm gap; inline or batch configuration; SS 316L; cooling jacket for heat-sensitive emulsions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Preparation of fine emulsions and microemulsions; dispersing pigments and waxes in cream bases; preparation of ophthalmic emulsions; sonication alternative for heat-sensitive products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Colloid mill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Rotor and stator cones with rough surfaces; high-speed rotation (3,000–10,000 rpm) in adjustable gap (0.025–0.125 mm); extremely high shear</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Adjustable gap between conical rotor and stator; temperature control jacket; SS 316L; recirculation loop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Preparation of ointments, creams, and oral suspensions requiring very fine particle size; recirculation ensures uniform treatment of entire batch</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4.1 — Blending Optimisation for a Low-Dose Tablet at Cipla</w:t>
      </w:r>
    </w:p>
    <w:p>
      <w:pPr>
        <w:shd w:fill="EBF3FB" w:val="clear"/>
        <w:spacing w:after="80" w:before="80"/>
        <w:jc w:val="both"/>
      </w:pPr>
      <w:r>
        <w:rPr>
          <w:rFonts w:ascii="Arial" w:cs="Arial" w:eastAsia="Arial" w:hAnsi="Arial"/>
          <w:b/>
          <w:bCs/>
          <w:sz w:val="22"/>
          <w:szCs w:val="22"/>
        </w:rPr>
        <w:t xml:space="preserve">Product: Amlodipine 2.5 mg Tablets | Challenge: 2.5 mg API in 200 mg total tablet weight (1.25% drug loading)</w:t>
      </w:r>
    </w:p>
    <w:p>
      <w:pPr>
        <w:shd w:fill="EBF3FB" w:val="clear"/>
        <w:spacing w:after="80" w:before="80"/>
        <w:jc w:val="both"/>
      </w:pPr>
      <w:r>
        <w:rPr>
          <w:rFonts w:ascii="Arial" w:cs="Arial" w:eastAsia="Arial" w:hAnsi="Arial"/>
          <w:sz w:val="22"/>
          <w:szCs w:val="22"/>
        </w:rPr>
        <w:t xml:space="preserve">Amlodipine 2.5 mg tablets present an extreme content uniformity challenge — the API is only 1.25% of the tablet weight. Traditional dry blending in a tumbling mixer failed content uniformity specifications (RSD &gt; 5%) due to particle size difference between amlodipine (D50 = 15 µm) and the excipients (D50 = 150 µm) causing percolation segregation.</w:t>
      </w:r>
    </w:p>
    <w:p>
      <w:pPr>
        <w:shd w:fill="EBF3FB" w:val="clear"/>
        <w:spacing w:after="80" w:before="80"/>
        <w:jc w:val="both"/>
      </w:pPr>
      <w:r>
        <w:rPr>
          <w:rFonts w:ascii="Arial" w:cs="Arial" w:eastAsia="Arial" w:hAnsi="Arial"/>
          <w:sz w:val="22"/>
          <w:szCs w:val="22"/>
        </w:rPr>
        <w:t xml:space="preserve">Solution — Ordered Mixing (Adhesion Mixing) Strategy:</w:t>
      </w:r>
    </w:p>
    <w:p>
      <w:pPr>
        <w:shd w:fill="EBF3FB" w:val="clear"/>
        <w:spacing w:after="80" w:before="80"/>
        <w:jc w:val="both"/>
      </w:pPr>
      <w:r>
        <w:rPr>
          <w:rFonts w:ascii="Arial" w:cs="Arial" w:eastAsia="Arial" w:hAnsi="Arial"/>
          <w:sz w:val="22"/>
          <w:szCs w:val="22"/>
        </w:rPr>
        <w:t xml:space="preserve">1. Micronised amlodipine (D50 = 3 µm after fluid energy milling) is pre-mixed with a small portion of micronised lactose at high shear in HSG for 5 minutes — drug particles adhere to lactose surface by van der Waals forces (ordered mix)</w:t>
      </w:r>
    </w:p>
    <w:p>
      <w:pPr>
        <w:shd w:fill="EBF3FB" w:val="clear"/>
        <w:spacing w:after="80" w:before="80"/>
        <w:jc w:val="both"/>
      </w:pPr>
      <w:r>
        <w:rPr>
          <w:rFonts w:ascii="Arial" w:cs="Arial" w:eastAsia="Arial" w:hAnsi="Arial"/>
          <w:sz w:val="22"/>
          <w:szCs w:val="22"/>
        </w:rPr>
        <w:t xml:space="preserve">2. The drug-lactose ordered mix is blended with the remaining excipients in a V-blender for 15 minutes</w:t>
      </w:r>
    </w:p>
    <w:p>
      <w:pPr>
        <w:shd w:fill="EBF3FB" w:val="clear"/>
        <w:spacing w:after="80" w:before="80"/>
        <w:jc w:val="both"/>
      </w:pPr>
      <w:r>
        <w:rPr>
          <w:rFonts w:ascii="Arial" w:cs="Arial" w:eastAsia="Arial" w:hAnsi="Arial"/>
          <w:sz w:val="22"/>
          <w:szCs w:val="22"/>
        </w:rPr>
        <w:t xml:space="preserve">3. Magnesium stearate (lubricant) added and blended for final 2 minutes only — over-lubrication reduces tablet hardness</w:t>
      </w:r>
    </w:p>
    <w:p>
      <w:pPr>
        <w:shd w:fill="EBF3FB" w:val="clear"/>
        <w:spacing w:after="80" w:before="80"/>
        <w:jc w:val="both"/>
      </w:pPr>
      <w:r>
        <w:rPr>
          <w:rFonts w:ascii="Arial" w:cs="Arial" w:eastAsia="Arial" w:hAnsi="Arial"/>
          <w:sz w:val="22"/>
          <w:szCs w:val="22"/>
        </w:rPr>
        <w:t xml:space="preserve">4. Content uniformity samples (n=10 from different positions in the blender) show RSD = 1.2% — well within the ICH specification of ≤ 2% RSD</w:t>
      </w:r>
    </w:p>
    <w:p>
      <w:pPr>
        <w:shd w:fill="EBF3FB" w:val="clear"/>
        <w:spacing w:after="80" w:before="80"/>
        <w:jc w:val="both"/>
      </w:pPr>
      <w:r>
        <w:rPr>
          <w:rFonts w:ascii="Arial" w:cs="Arial" w:eastAsia="Arial" w:hAnsi="Arial"/>
          <w:sz w:val="22"/>
          <w:szCs w:val="22"/>
        </w:rPr>
        <w:t xml:space="preserve">Engineering lesson: Content uniformity in low-dose tablets is an engineering challenge requiring the right mixing strategy, not just the right mixer. Ordered mixing reduced segregation by making drug particles adhere to carrier surfaces. HSG for the initial drug-carrier mix provides the intense shear needed to create this adhesion; V-blender provides gentle final homogenisation.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4.1 — Mixing Index Calculation</w:t>
      </w:r>
    </w:p>
    <w:p>
      <w:pPr>
        <w:shd w:fill="FFF2CC" w:val="clear"/>
        <w:spacing w:after="80" w:before="80"/>
        <w:jc w:val="both"/>
      </w:pPr>
      <w:r>
        <w:rPr>
          <w:rFonts w:ascii="Arial" w:cs="Arial" w:eastAsia="Arial" w:hAnsi="Arial"/>
          <w:b/>
          <w:bCs/>
          <w:sz w:val="22"/>
          <w:szCs w:val="22"/>
        </w:rPr>
        <w:t xml:space="preserve">Problem: A tablet blend was analysed by HPLC assay of 10 samples taken from a V-blender at different time intervals. The target API content is 50 mg per sample. Calculate the Lacey Mixing Index if σ₀ = 0.50, σ_R = 0.03, and the measured standard deviation σ = 0.12.</w:t>
      </w:r>
    </w:p>
    <w:p>
      <w:pPr>
        <w:spacing w:after="60" w:before="60"/>
      </w:pPr>
      <w:r>
        <w:t xml:space="preserve"/>
      </w:r>
    </w:p>
    <w:p>
      <w:pPr>
        <w:shd w:fill="FFF2CC" w:val="clear"/>
        <w:spacing w:after="80" w:before="80"/>
        <w:jc w:val="both"/>
      </w:pPr>
      <w:r>
        <w:rPr>
          <w:rFonts w:ascii="Arial" w:cs="Arial" w:eastAsia="Arial" w:hAnsi="Arial"/>
          <w:sz w:val="22"/>
          <w:szCs w:val="22"/>
        </w:rPr>
        <w:t xml:space="preserve">Given: σ₀ = 0.50 (completely unmixed standard deviation); σ_R = 0.03 (ideal random mix standard deviation); σ = 0.12 (actual measured standard deviation)</w:t>
      </w:r>
    </w:p>
    <w:p>
      <w:pPr>
        <w:spacing w:after="60" w:before="60"/>
      </w:pPr>
      <w:r>
        <w:t xml:space="preserve"/>
      </w:r>
    </w:p>
    <w:p>
      <w:pPr>
        <w:shd w:fill="FFF2CC" w:val="clear"/>
        <w:spacing w:after="80" w:before="80"/>
        <w:jc w:val="both"/>
      </w:pPr>
      <w:r>
        <w:rPr>
          <w:rFonts w:ascii="Arial" w:cs="Arial" w:eastAsia="Arial" w:hAnsi="Arial"/>
          <w:sz w:val="22"/>
          <w:szCs w:val="22"/>
        </w:rPr>
        <w:t xml:space="preserve">Step 1: Apply the Lacey Mixing Index formula:</w:t>
      </w:r>
    </w:p>
    <w:p>
      <w:pPr>
        <w:shd w:fill="EBF3FB" w:val="clear"/>
        <w:spacing w:after="140" w:before="140"/>
        <w:jc w:val="center"/>
      </w:pPr>
      <w:r>
        <w:rPr>
          <w:rFonts w:ascii="Courier New" w:cs="Courier New" w:eastAsia="Courier New" w:hAnsi="Courier New"/>
          <w:b/>
          <w:bCs/>
          <w:color w:val="1F4E79"/>
          <w:sz w:val="24"/>
          <w:szCs w:val="24"/>
        </w:rPr>
        <w:t xml:space="preserve">M_L = (σ₀² − σ²) / (σ₀² − σ_R²)</w:t>
      </w:r>
    </w:p>
    <w:p>
      <w:pPr>
        <w:shd w:fill="FFF2CC" w:val="clear"/>
        <w:spacing w:after="80" w:before="80"/>
        <w:jc w:val="both"/>
      </w:pPr>
      <w:r>
        <w:rPr>
          <w:rFonts w:ascii="Arial" w:cs="Arial" w:eastAsia="Arial" w:hAnsi="Arial"/>
          <w:sz w:val="22"/>
          <w:szCs w:val="22"/>
        </w:rPr>
        <w:t xml:space="preserve">M_L = (0.50² − 0.12²) / (0.50² − 0.03²)</w:t>
      </w:r>
    </w:p>
    <w:p>
      <w:pPr>
        <w:shd w:fill="FFF2CC" w:val="clear"/>
        <w:spacing w:after="80" w:before="80"/>
        <w:jc w:val="both"/>
      </w:pPr>
      <w:r>
        <w:rPr>
          <w:rFonts w:ascii="Arial" w:cs="Arial" w:eastAsia="Arial" w:hAnsi="Arial"/>
          <w:sz w:val="22"/>
          <w:szCs w:val="22"/>
        </w:rPr>
        <w:t xml:space="preserve">M_L = (0.2500 − 0.0144) / (0.2500 − 0.0009)</w:t>
      </w:r>
    </w:p>
    <w:p>
      <w:pPr>
        <w:shd w:fill="FFF2CC" w:val="clear"/>
        <w:spacing w:after="80" w:before="80"/>
        <w:jc w:val="both"/>
      </w:pPr>
      <w:r>
        <w:rPr>
          <w:rFonts w:ascii="Arial" w:cs="Arial" w:eastAsia="Arial" w:hAnsi="Arial"/>
          <w:sz w:val="22"/>
          <w:szCs w:val="22"/>
        </w:rPr>
        <w:t xml:space="preserve">M_L = 0.2356 / 0.2491 = 0.946</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Interpretation: M_L = 0.946 (range 0 to 1). A value of 0.946 indicates the mixture is 94.6% of the way from completely unmixed to perfectly (randomly) mixed. This is a good blend — in pharmaceutical practice, M_L &gt; 0.90 is generally considered adequate.</w:t>
      </w:r>
    </w:p>
    <w:p>
      <w:pPr>
        <w:shd w:fill="FFF2CC" w:val="clear"/>
        <w:spacing w:after="80" w:before="80"/>
        <w:jc w:val="both"/>
      </w:pPr>
      <w:r>
        <w:rPr>
          <w:rFonts w:ascii="Arial" w:cs="Arial" w:eastAsia="Arial" w:hAnsi="Arial"/>
          <w:sz w:val="22"/>
          <w:szCs w:val="22"/>
        </w:rPr>
        <w:t xml:space="preserve">RSD of actual blend: σ/mean = 0.12/50 = 0.24% — well within the ICH specification of ≤ 2.0% RSD for blend uniformity. Blend meets specification and can proceed to tablet compression.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4</w:t>
      </w:r>
    </w:p>
    <w:p>
      <w:pPr>
        <w:shd w:fill="E2EFDA" w:val="clear"/>
        <w:spacing w:after="80" w:before="80"/>
        <w:jc w:val="both"/>
      </w:pPr>
      <w:r>
        <w:rPr>
          <w:rFonts w:ascii="Arial" w:cs="Arial" w:eastAsia="Arial" w:hAnsi="Arial"/>
          <w:sz w:val="22"/>
          <w:szCs w:val="22"/>
        </w:rPr>
        <w:t xml:space="preserve">1. Mixing in pharmacy achieves content uniformity — uniform distribution of API throughout blend. Perfect mixing = Relative Standard Deviation (RSD) ≤ 2% for content uniformity assay.</w:t>
      </w:r>
    </w:p>
    <w:p>
      <w:pPr>
        <w:shd w:fill="E2EFDA" w:val="clear"/>
        <w:spacing w:after="80" w:before="80"/>
        <w:jc w:val="both"/>
      </w:pPr>
      <w:r>
        <w:rPr>
          <w:rFonts w:ascii="Arial" w:cs="Arial" w:eastAsia="Arial" w:hAnsi="Arial"/>
          <w:sz w:val="22"/>
          <w:szCs w:val="22"/>
        </w:rPr>
        <w:t xml:space="preserve">2. Three mechanisms of solid mixing: Convective mixing (bulk mass transfer — fast but only macro-scale); Diffusive mixing (particle-level randomisation — slow but fine-scale); Shear mixing (breaks agglomerates, creates slip planes — intermediate scale).</w:t>
      </w:r>
    </w:p>
    <w:p>
      <w:pPr>
        <w:shd w:fill="E2EFDA" w:val="clear"/>
        <w:spacing w:after="80" w:before="80"/>
        <w:jc w:val="both"/>
      </w:pPr>
      <w:r>
        <w:rPr>
          <w:rFonts w:ascii="Arial" w:cs="Arial" w:eastAsia="Arial" w:hAnsi="Arial"/>
          <w:sz w:val="22"/>
          <w:szCs w:val="22"/>
        </w:rPr>
        <w:t xml:space="preserve">3. Segregation is unmixing — driven by particle size difference (percolation), density difference, and shape difference. Larger particles migrate to top (percolation segregation) — most common in pharma.</w:t>
      </w:r>
    </w:p>
    <w:p>
      <w:pPr>
        <w:shd w:fill="E2EFDA" w:val="clear"/>
        <w:spacing w:after="80" w:before="80"/>
        <w:jc w:val="both"/>
      </w:pPr>
      <w:r>
        <w:rPr>
          <w:rFonts w:ascii="Arial" w:cs="Arial" w:eastAsia="Arial" w:hAnsi="Arial"/>
          <w:sz w:val="22"/>
          <w:szCs w:val="22"/>
        </w:rPr>
        <w:t xml:space="preserve">4. Lacey Mixing Index: M_L = (σ₀² − σ²)/(σ₀² − σ_R²). M_L = 0 → unmixed; M_L = 1 → perfectly mixed. σ₀ = unmixed SD; σ_R = random (ideal) mix SD; σ = actual measured SD.</w:t>
      </w:r>
    </w:p>
    <w:p>
      <w:pPr>
        <w:shd w:fill="E2EFDA" w:val="clear"/>
        <w:spacing w:after="80" w:before="80"/>
        <w:jc w:val="both"/>
      </w:pPr>
      <w:r>
        <w:rPr>
          <w:rFonts w:ascii="Arial" w:cs="Arial" w:eastAsia="Arial" w:hAnsi="Arial"/>
          <w:sz w:val="22"/>
          <w:szCs w:val="22"/>
        </w:rPr>
        <w:t xml:space="preserve">5. Double cone blender: gentle tumbling; suitable for final tablet blend; gravity discharge; 50–60% fill optimal; suitable for fragile granules; used for lubricant addition.</w:t>
      </w:r>
    </w:p>
    <w:p>
      <w:pPr>
        <w:shd w:fill="E2EFDA" w:val="clear"/>
        <w:spacing w:after="80" w:before="80"/>
        <w:jc w:val="both"/>
      </w:pPr>
      <w:r>
        <w:rPr>
          <w:rFonts w:ascii="Arial" w:cs="Arial" w:eastAsia="Arial" w:hAnsi="Arial"/>
          <w:sz w:val="22"/>
          <w:szCs w:val="22"/>
        </w:rPr>
        <w:t xml:space="preserve">6. V-blender: splitting-recombination mechanism; more efficient than double cone; intensifier bar option for cohesive powders; widely used for pharmaceutical tablet blend.</w:t>
      </w:r>
    </w:p>
    <w:p>
      <w:pPr>
        <w:shd w:fill="E2EFDA" w:val="clear"/>
        <w:spacing w:after="80" w:before="80"/>
        <w:jc w:val="both"/>
      </w:pPr>
      <w:r>
        <w:rPr>
          <w:rFonts w:ascii="Arial" w:cs="Arial" w:eastAsia="Arial" w:hAnsi="Arial"/>
          <w:sz w:val="22"/>
          <w:szCs w:val="22"/>
        </w:rPr>
        <w:t xml:space="preserve">7. Ribbon blender: convective mixing by counter-rotating inner and outer ribbons; large capacity; handles wet and dry mixing; longer cleaning time; used for large-scale blending.</w:t>
      </w:r>
    </w:p>
    <w:p>
      <w:pPr>
        <w:shd w:fill="E2EFDA" w:val="clear"/>
        <w:spacing w:after="80" w:before="80"/>
        <w:jc w:val="both"/>
      </w:pPr>
      <w:r>
        <w:rPr>
          <w:rFonts w:ascii="Arial" w:cs="Arial" w:eastAsia="Arial" w:hAnsi="Arial"/>
          <w:sz w:val="22"/>
          <w:szCs w:val="22"/>
        </w:rPr>
        <w:t xml:space="preserve">8. Sigma blade mixer: intensive kneading by counter-rotating sigma blades; for stiff, viscous, semi-plastic materials — ointment bases, paste granulations, wax-matrix materials.</w:t>
      </w:r>
    </w:p>
    <w:p>
      <w:pPr>
        <w:shd w:fill="E2EFDA" w:val="clear"/>
        <w:spacing w:after="80" w:before="80"/>
        <w:jc w:val="both"/>
      </w:pPr>
      <w:r>
        <w:rPr>
          <w:rFonts w:ascii="Arial" w:cs="Arial" w:eastAsia="Arial" w:hAnsi="Arial"/>
          <w:sz w:val="22"/>
          <w:szCs w:val="22"/>
        </w:rPr>
        <w:t xml:space="preserve">9. High-Shear Granulator (HSG): combines mixing + granulation in one vessel; impeller + chopper mechanism; end-point detection by impeller torque/power; shorter process time than conventional granulation.</w:t>
      </w:r>
    </w:p>
    <w:p>
      <w:pPr>
        <w:shd w:fill="E2EFDA" w:val="clear"/>
        <w:spacing w:after="80" w:before="80"/>
        <w:jc w:val="both"/>
      </w:pPr>
      <w:r>
        <w:rPr>
          <w:rFonts w:ascii="Arial" w:cs="Arial" w:eastAsia="Arial" w:hAnsi="Arial"/>
          <w:sz w:val="22"/>
          <w:szCs w:val="22"/>
        </w:rPr>
        <w:t xml:space="preserve">10. Liquid mixing impeller types: Paddle (gentle, tangential); Turbine/Rushton (radial, high shear); Propeller (axial, high volume); Anchor (viscous materials, wall sweeping). Baffles convert rotational to turbulent flow — essential for efficient mixing.</w:t>
      </w:r>
    </w:p>
    <w:p>
      <w:pPr>
        <w:shd w:fill="E2EFDA" w:val="clear"/>
        <w:spacing w:after="80" w:before="80"/>
        <w:jc w:val="both"/>
      </w:pPr>
      <w:r>
        <w:rPr>
          <w:rFonts w:ascii="Arial" w:cs="Arial" w:eastAsia="Arial" w:hAnsi="Arial"/>
          <w:sz w:val="22"/>
          <w:szCs w:val="22"/>
        </w:rPr>
        <w:t xml:space="preserve">11. Re_mixing = N × D² × ρ / µ. Re &gt; 10,000 = turbulent (efficient) mixing. Baffles promote turbulence by breaking up rotational vortex.</w:t>
      </w:r>
    </w:p>
    <w:p>
      <w:pPr>
        <w:shd w:fill="E2EFDA" w:val="clear"/>
        <w:spacing w:after="80" w:before="80"/>
        <w:jc w:val="both"/>
      </w:pPr>
      <w:r>
        <w:rPr>
          <w:rFonts w:ascii="Arial" w:cs="Arial" w:eastAsia="Arial" w:hAnsi="Arial"/>
          <w:sz w:val="22"/>
          <w:szCs w:val="22"/>
        </w:rPr>
        <w:t xml:space="preserve">12. Planetary mixer: paddle rotates + revolves like a planet — reaches entire bowl without dead zones. Used for creams, ointments, suppositories. Homogeniser (rotor-stator): intense shear for fine emulsions and cream bases.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4</w:t>
      </w:r>
    </w:p>
    <w:p>
      <w:pPr>
        <w:spacing w:after="80" w:before="80"/>
        <w:jc w:val="both"/>
      </w:pPr>
      <w:r>
        <w:rPr>
          <w:rFonts w:ascii="Arial" w:cs="Arial" w:eastAsia="Arial" w:hAnsi="Arial"/>
          <w:sz w:val="22"/>
          <w:szCs w:val="22"/>
        </w:rPr>
        <w:t xml:space="preserve">(20 Questions — 1 mark each)</w:t>
      </w:r>
    </w:p>
    <w:p>
      <w:pPr>
        <w:spacing w:after="60" w:before="60"/>
      </w:pPr>
      <w:r>
        <w:t xml:space="preserve"/>
      </w:r>
    </w:p>
    <w:p>
      <w:pPr>
        <w:spacing w:after="80" w:before="80"/>
        <w:jc w:val="both"/>
      </w:pPr>
      <w:r>
        <w:rPr>
          <w:rFonts w:ascii="Arial" w:cs="Arial" w:eastAsia="Arial" w:hAnsi="Arial"/>
          <w:b/>
          <w:bCs/>
          <w:sz w:val="22"/>
          <w:szCs w:val="22"/>
        </w:rPr>
        <w:t xml:space="preserve">Q1. In pharmaceutical tablet manufacturing, the primary objective of mixing the active ingredient with excipients is:</w:t>
      </w:r>
    </w:p>
    <w:p>
      <w:pPr>
        <w:pStyle w:val="ListParagraph"/>
        <w:numPr>
          <w:ilvl w:val="0"/>
          <w:numId w:val="2"/>
        </w:numPr>
        <w:spacing w:after="60" w:before="60"/>
      </w:pPr>
      <w:r>
        <w:rPr>
          <w:rFonts w:ascii="Arial" w:cs="Arial" w:eastAsia="Arial" w:hAnsi="Arial"/>
          <w:sz w:val="22"/>
          <w:szCs w:val="22"/>
        </w:rPr>
        <w:t xml:space="preserve">(A) To increase the solubility of the drug</w:t>
      </w:r>
    </w:p>
    <w:p>
      <w:pPr>
        <w:pStyle w:val="ListParagraph"/>
        <w:numPr>
          <w:ilvl w:val="0"/>
          <w:numId w:val="2"/>
        </w:numPr>
        <w:spacing w:after="60" w:before="60"/>
      </w:pPr>
      <w:r>
        <w:rPr>
          <w:rFonts w:ascii="Arial" w:cs="Arial" w:eastAsia="Arial" w:hAnsi="Arial"/>
          <w:sz w:val="22"/>
          <w:szCs w:val="22"/>
        </w:rPr>
        <w:t xml:space="preserve">(B) To achieve content uniformity — uniform distribution of API ensuring each tablet contains the correct drug dose</w:t>
      </w:r>
    </w:p>
    <w:p>
      <w:pPr>
        <w:pStyle w:val="ListParagraph"/>
        <w:numPr>
          <w:ilvl w:val="0"/>
          <w:numId w:val="2"/>
        </w:numPr>
        <w:spacing w:after="60" w:before="60"/>
      </w:pPr>
      <w:r>
        <w:rPr>
          <w:rFonts w:ascii="Arial" w:cs="Arial" w:eastAsia="Arial" w:hAnsi="Arial"/>
          <w:sz w:val="22"/>
          <w:szCs w:val="22"/>
        </w:rPr>
        <w:t xml:space="preserve">(C) To reduce the particle size of the drug</w:t>
      </w:r>
    </w:p>
    <w:p>
      <w:pPr>
        <w:pStyle w:val="ListParagraph"/>
        <w:numPr>
          <w:ilvl w:val="0"/>
          <w:numId w:val="2"/>
        </w:numPr>
        <w:spacing w:after="60" w:before="60"/>
      </w:pPr>
      <w:r>
        <w:rPr>
          <w:rFonts w:ascii="Arial" w:cs="Arial" w:eastAsia="Arial" w:hAnsi="Arial"/>
          <w:sz w:val="22"/>
          <w:szCs w:val="22"/>
        </w:rPr>
        <w:t xml:space="preserve">(D) To sterilise the powder blend</w:t>
      </w:r>
    </w:p>
    <w:p>
      <w:pPr>
        <w:spacing w:after="80" w:before="80"/>
        <w:jc w:val="both"/>
      </w:pPr>
      <w:r>
        <w:rPr>
          <w:rFonts w:ascii="Arial" w:cs="Arial" w:eastAsia="Arial" w:hAnsi="Arial"/>
          <w:sz w:val="22"/>
          <w:szCs w:val="22"/>
        </w:rPr>
        <w:t xml:space="preserve">Answer: (B) | Content uniformity is the primary mixing objective in tablet manufacture. ICH Q6A specification: assay of individual tablets — 85–115% of label claim; RSD ≤ 6% for 10 tablets; none outside 75–125%. Achieving this requires homogeneous API distribution in the blend, which is the objective of the mixing operation.</w:t>
      </w:r>
    </w:p>
    <w:p>
      <w:pPr>
        <w:spacing w:after="60" w:before="60"/>
      </w:pPr>
      <w:r>
        <w:t xml:space="preserve"/>
      </w:r>
    </w:p>
    <w:p>
      <w:pPr>
        <w:spacing w:after="80" w:before="80"/>
        <w:jc w:val="both"/>
      </w:pPr>
      <w:r>
        <w:rPr>
          <w:rFonts w:ascii="Arial" w:cs="Arial" w:eastAsia="Arial" w:hAnsi="Arial"/>
          <w:b/>
          <w:bCs/>
          <w:sz w:val="22"/>
          <w:szCs w:val="22"/>
        </w:rPr>
        <w:t xml:space="preserve">Q2. The MOST common cause of segregation in pharmaceutical powder blends is:</w:t>
      </w:r>
    </w:p>
    <w:p>
      <w:pPr>
        <w:pStyle w:val="ListParagraph"/>
        <w:numPr>
          <w:ilvl w:val="0"/>
          <w:numId w:val="2"/>
        </w:numPr>
        <w:spacing w:after="60" w:before="60"/>
      </w:pPr>
      <w:r>
        <w:rPr>
          <w:rFonts w:ascii="Arial" w:cs="Arial" w:eastAsia="Arial" w:hAnsi="Arial"/>
          <w:sz w:val="22"/>
          <w:szCs w:val="22"/>
        </w:rPr>
        <w:t xml:space="preserve">(A) Electrostatic charge on particle surfaces</w:t>
      </w:r>
    </w:p>
    <w:p>
      <w:pPr>
        <w:pStyle w:val="ListParagraph"/>
        <w:numPr>
          <w:ilvl w:val="0"/>
          <w:numId w:val="2"/>
        </w:numPr>
        <w:spacing w:after="60" w:before="60"/>
      </w:pPr>
      <w:r>
        <w:rPr>
          <w:rFonts w:ascii="Arial" w:cs="Arial" w:eastAsia="Arial" w:hAnsi="Arial"/>
          <w:sz w:val="22"/>
          <w:szCs w:val="22"/>
        </w:rPr>
        <w:t xml:space="preserve">(B) Particle size difference — larger particles migrate to the top and periphery by percolation</w:t>
      </w:r>
    </w:p>
    <w:p>
      <w:pPr>
        <w:pStyle w:val="ListParagraph"/>
        <w:numPr>
          <w:ilvl w:val="0"/>
          <w:numId w:val="2"/>
        </w:numPr>
        <w:spacing w:after="60" w:before="60"/>
      </w:pPr>
      <w:r>
        <w:rPr>
          <w:rFonts w:ascii="Arial" w:cs="Arial" w:eastAsia="Arial" w:hAnsi="Arial"/>
          <w:sz w:val="22"/>
          <w:szCs w:val="22"/>
        </w:rPr>
        <w:t xml:space="preserve">(C) Temperature variation during mixing</w:t>
      </w:r>
    </w:p>
    <w:p>
      <w:pPr>
        <w:pStyle w:val="ListParagraph"/>
        <w:numPr>
          <w:ilvl w:val="0"/>
          <w:numId w:val="2"/>
        </w:numPr>
        <w:spacing w:after="60" w:before="60"/>
      </w:pPr>
      <w:r>
        <w:rPr>
          <w:rFonts w:ascii="Arial" w:cs="Arial" w:eastAsia="Arial" w:hAnsi="Arial"/>
          <w:sz w:val="22"/>
          <w:szCs w:val="22"/>
        </w:rPr>
        <w:t xml:space="preserve">(D) Impeller speed too high during mixing</w:t>
      </w:r>
    </w:p>
    <w:p>
      <w:pPr>
        <w:spacing w:after="80" w:before="80"/>
        <w:jc w:val="both"/>
      </w:pPr>
      <w:r>
        <w:rPr>
          <w:rFonts w:ascii="Arial" w:cs="Arial" w:eastAsia="Arial" w:hAnsi="Arial"/>
          <w:sz w:val="22"/>
          <w:szCs w:val="22"/>
        </w:rPr>
        <w:t xml:space="preserve">Answer: (B) | Percolation segregation (particle size difference) is the most common and problematic type in pharmaceutical mixing. Larger particles migrate to the top and periphery of tumbling blends as smaller particles percolate (filter) downward through the spaces between larger particles. This is why minimising particle size differences and using granulation (which encapsulates all ingredients in same-sized granules) are primary strategies against segregation.</w:t>
      </w:r>
    </w:p>
    <w:p>
      <w:pPr>
        <w:spacing w:after="60" w:before="60"/>
      </w:pPr>
      <w:r>
        <w:t xml:space="preserve"/>
      </w:r>
    </w:p>
    <w:p>
      <w:pPr>
        <w:spacing w:after="80" w:before="80"/>
        <w:jc w:val="both"/>
      </w:pPr>
      <w:r>
        <w:rPr>
          <w:rFonts w:ascii="Arial" w:cs="Arial" w:eastAsia="Arial" w:hAnsi="Arial"/>
          <w:b/>
          <w:bCs/>
          <w:sz w:val="22"/>
          <w:szCs w:val="22"/>
        </w:rPr>
        <w:t xml:space="preserve">Q3. The Lacey Mixing Index equals 1.0 when:</w:t>
      </w:r>
    </w:p>
    <w:p>
      <w:pPr>
        <w:pStyle w:val="ListParagraph"/>
        <w:numPr>
          <w:ilvl w:val="0"/>
          <w:numId w:val="2"/>
        </w:numPr>
        <w:spacing w:after="60" w:before="60"/>
      </w:pPr>
      <w:r>
        <w:rPr>
          <w:rFonts w:ascii="Arial" w:cs="Arial" w:eastAsia="Arial" w:hAnsi="Arial"/>
          <w:sz w:val="22"/>
          <w:szCs w:val="22"/>
        </w:rPr>
        <w:t xml:space="preserve">(A) The mixture is completely unmixed — maximum separation of components</w:t>
      </w:r>
    </w:p>
    <w:p>
      <w:pPr>
        <w:pStyle w:val="ListParagraph"/>
        <w:numPr>
          <w:ilvl w:val="0"/>
          <w:numId w:val="2"/>
        </w:numPr>
        <w:spacing w:after="60" w:before="60"/>
      </w:pPr>
      <w:r>
        <w:rPr>
          <w:rFonts w:ascii="Arial" w:cs="Arial" w:eastAsia="Arial" w:hAnsi="Arial"/>
          <w:sz w:val="22"/>
          <w:szCs w:val="22"/>
        </w:rPr>
        <w:t xml:space="preserve">(B) The mixture is perfectly (randomly) mixed — standard deviation equals that of a theoretical random mixture</w:t>
      </w:r>
    </w:p>
    <w:p>
      <w:pPr>
        <w:pStyle w:val="ListParagraph"/>
        <w:numPr>
          <w:ilvl w:val="0"/>
          <w:numId w:val="2"/>
        </w:numPr>
        <w:spacing w:after="60" w:before="60"/>
      </w:pPr>
      <w:r>
        <w:rPr>
          <w:rFonts w:ascii="Arial" w:cs="Arial" w:eastAsia="Arial" w:hAnsi="Arial"/>
          <w:sz w:val="22"/>
          <w:szCs w:val="22"/>
        </w:rPr>
        <w:t xml:space="preserve">(C) The mixture meets the IP specification for blend uniformity</w:t>
      </w:r>
    </w:p>
    <w:p>
      <w:pPr>
        <w:pStyle w:val="ListParagraph"/>
        <w:numPr>
          <w:ilvl w:val="0"/>
          <w:numId w:val="2"/>
        </w:numPr>
        <w:spacing w:after="60" w:before="60"/>
      </w:pPr>
      <w:r>
        <w:rPr>
          <w:rFonts w:ascii="Arial" w:cs="Arial" w:eastAsia="Arial" w:hAnsi="Arial"/>
          <w:sz w:val="22"/>
          <w:szCs w:val="22"/>
        </w:rPr>
        <w:t xml:space="preserve">(D) Exactly 50% of particles have moved from their original position</w:t>
      </w:r>
    </w:p>
    <w:p>
      <w:pPr>
        <w:spacing w:after="80" w:before="80"/>
        <w:jc w:val="both"/>
      </w:pPr>
      <w:r>
        <w:rPr>
          <w:rFonts w:ascii="Arial" w:cs="Arial" w:eastAsia="Arial" w:hAnsi="Arial"/>
          <w:sz w:val="22"/>
          <w:szCs w:val="22"/>
        </w:rPr>
        <w:t xml:space="preserve">Answer: (B) | M_L = (σ₀² − σ²)/(σ₀² − σ_R²). When σ = σ_R (actual SD equals ideal random mixture SD), M_L = 1.0 — perfect random mixing. When σ = σ₀ (actual SD equals unmixed SD), M_L = 0 — completely unmixed. In pharmaceutical practice, M_L &gt; 0.90 (RSD ≤ 2%) is generally considered acceptable.</w:t>
      </w:r>
    </w:p>
    <w:p>
      <w:pPr>
        <w:spacing w:after="60" w:before="60"/>
      </w:pPr>
      <w:r>
        <w:t xml:space="preserve"/>
      </w:r>
    </w:p>
    <w:p>
      <w:pPr>
        <w:spacing w:after="80" w:before="80"/>
        <w:jc w:val="both"/>
      </w:pPr>
      <w:r>
        <w:rPr>
          <w:rFonts w:ascii="Arial" w:cs="Arial" w:eastAsia="Arial" w:hAnsi="Arial"/>
          <w:b/>
          <w:bCs/>
          <w:sz w:val="22"/>
          <w:szCs w:val="22"/>
        </w:rPr>
        <w:t xml:space="preserve">Q4. The optimal fill level for a Double Cone Blender or V-Blender for effective mixing is:</w:t>
      </w:r>
    </w:p>
    <w:p>
      <w:pPr>
        <w:pStyle w:val="ListParagraph"/>
        <w:numPr>
          <w:ilvl w:val="0"/>
          <w:numId w:val="2"/>
        </w:numPr>
        <w:spacing w:after="60" w:before="60"/>
      </w:pPr>
      <w:r>
        <w:rPr>
          <w:rFonts w:ascii="Arial" w:cs="Arial" w:eastAsia="Arial" w:hAnsi="Arial"/>
          <w:sz w:val="22"/>
          <w:szCs w:val="22"/>
        </w:rPr>
        <w:t xml:space="preserve">(A) 20–30% of total vessel volume</w:t>
      </w:r>
    </w:p>
    <w:p>
      <w:pPr>
        <w:pStyle w:val="ListParagraph"/>
        <w:numPr>
          <w:ilvl w:val="0"/>
          <w:numId w:val="2"/>
        </w:numPr>
        <w:spacing w:after="60" w:before="60"/>
      </w:pPr>
      <w:r>
        <w:rPr>
          <w:rFonts w:ascii="Arial" w:cs="Arial" w:eastAsia="Arial" w:hAnsi="Arial"/>
          <w:sz w:val="22"/>
          <w:szCs w:val="22"/>
        </w:rPr>
        <w:t xml:space="preserve">(B) 50–60% of total vessel volume</w:t>
      </w:r>
    </w:p>
    <w:p>
      <w:pPr>
        <w:pStyle w:val="ListParagraph"/>
        <w:numPr>
          <w:ilvl w:val="0"/>
          <w:numId w:val="2"/>
        </w:numPr>
        <w:spacing w:after="60" w:before="60"/>
      </w:pPr>
      <w:r>
        <w:rPr>
          <w:rFonts w:ascii="Arial" w:cs="Arial" w:eastAsia="Arial" w:hAnsi="Arial"/>
          <w:sz w:val="22"/>
          <w:szCs w:val="22"/>
        </w:rPr>
        <w:t xml:space="preserve">(C) 80–90% of total vessel volume — more material means more mixing</w:t>
      </w:r>
    </w:p>
    <w:p>
      <w:pPr>
        <w:pStyle w:val="ListParagraph"/>
        <w:numPr>
          <w:ilvl w:val="0"/>
          <w:numId w:val="2"/>
        </w:numPr>
        <w:spacing w:after="60" w:before="60"/>
      </w:pPr>
      <w:r>
        <w:rPr>
          <w:rFonts w:ascii="Arial" w:cs="Arial" w:eastAsia="Arial" w:hAnsi="Arial"/>
          <w:sz w:val="22"/>
          <w:szCs w:val="22"/>
        </w:rPr>
        <w:t xml:space="preserve">(D) 100% fill — no empty space needed</w:t>
      </w:r>
    </w:p>
    <w:p>
      <w:pPr>
        <w:spacing w:after="80" w:before="80"/>
        <w:jc w:val="both"/>
      </w:pPr>
      <w:r>
        <w:rPr>
          <w:rFonts w:ascii="Arial" w:cs="Arial" w:eastAsia="Arial" w:hAnsi="Arial"/>
          <w:sz w:val="22"/>
          <w:szCs w:val="22"/>
        </w:rPr>
        <w:t xml:space="preserve">Answer: (B) | At 50–60% fill, there is sufficient empty space (40–50%) in the vessel for powder to tumble, cascade, and mix effectively. At too low fill (&lt; 30%), powder slides rather than tumbles — poor mixing. At too high fill (&gt; 70%), insufficient space for powder movement — reduced mixing efficiency. 50–60% is the pharmaceutical industry standard for tumbling mixers.</w:t>
      </w:r>
    </w:p>
    <w:p>
      <w:pPr>
        <w:spacing w:after="60" w:before="60"/>
      </w:pPr>
      <w:r>
        <w:t xml:space="preserve"/>
      </w:r>
    </w:p>
    <w:p>
      <w:pPr>
        <w:spacing w:after="80" w:before="80"/>
        <w:jc w:val="both"/>
      </w:pPr>
      <w:r>
        <w:rPr>
          <w:rFonts w:ascii="Arial" w:cs="Arial" w:eastAsia="Arial" w:hAnsi="Arial"/>
          <w:b/>
          <w:bCs/>
          <w:sz w:val="22"/>
          <w:szCs w:val="22"/>
        </w:rPr>
        <w:t xml:space="preserve">Q5. The intensifier bar in a V-Blender is used to:</w:t>
      </w:r>
    </w:p>
    <w:p>
      <w:pPr>
        <w:pStyle w:val="ListParagraph"/>
        <w:numPr>
          <w:ilvl w:val="0"/>
          <w:numId w:val="2"/>
        </w:numPr>
        <w:spacing w:after="60" w:before="60"/>
      </w:pPr>
      <w:r>
        <w:rPr>
          <w:rFonts w:ascii="Arial" w:cs="Arial" w:eastAsia="Arial" w:hAnsi="Arial"/>
          <w:sz w:val="22"/>
          <w:szCs w:val="22"/>
        </w:rPr>
        <w:t xml:space="preserve">(A) Increase the rotation speed of the V-shell</w:t>
      </w:r>
    </w:p>
    <w:p>
      <w:pPr>
        <w:pStyle w:val="ListParagraph"/>
        <w:numPr>
          <w:ilvl w:val="0"/>
          <w:numId w:val="2"/>
        </w:numPr>
        <w:spacing w:after="60" w:before="60"/>
      </w:pPr>
      <w:r>
        <w:rPr>
          <w:rFonts w:ascii="Arial" w:cs="Arial" w:eastAsia="Arial" w:hAnsi="Arial"/>
          <w:sz w:val="22"/>
          <w:szCs w:val="22"/>
        </w:rPr>
        <w:t xml:space="preserve">(B) Break up agglomerates and improve mixing of cohesive powders that resist normal tumbling action</w:t>
      </w:r>
    </w:p>
    <w:p>
      <w:pPr>
        <w:pStyle w:val="ListParagraph"/>
        <w:numPr>
          <w:ilvl w:val="0"/>
          <w:numId w:val="2"/>
        </w:numPr>
        <w:spacing w:after="60" w:before="60"/>
      </w:pPr>
      <w:r>
        <w:rPr>
          <w:rFonts w:ascii="Arial" w:cs="Arial" w:eastAsia="Arial" w:hAnsi="Arial"/>
          <w:sz w:val="22"/>
          <w:szCs w:val="22"/>
        </w:rPr>
        <w:t xml:space="preserve">(C) Add binder solution uniformly during granulation</w:t>
      </w:r>
    </w:p>
    <w:p>
      <w:pPr>
        <w:pStyle w:val="ListParagraph"/>
        <w:numPr>
          <w:ilvl w:val="0"/>
          <w:numId w:val="2"/>
        </w:numPr>
        <w:spacing w:after="60" w:before="60"/>
      </w:pPr>
      <w:r>
        <w:rPr>
          <w:rFonts w:ascii="Arial" w:cs="Arial" w:eastAsia="Arial" w:hAnsi="Arial"/>
          <w:sz w:val="22"/>
          <w:szCs w:val="22"/>
        </w:rPr>
        <w:t xml:space="preserve">(D) Sample the powder blend without stopping the blender</w:t>
      </w:r>
    </w:p>
    <w:p>
      <w:pPr>
        <w:spacing w:after="80" w:before="80"/>
        <w:jc w:val="both"/>
      </w:pPr>
      <w:r>
        <w:rPr>
          <w:rFonts w:ascii="Arial" w:cs="Arial" w:eastAsia="Arial" w:hAnsi="Arial"/>
          <w:sz w:val="22"/>
          <w:szCs w:val="22"/>
        </w:rPr>
        <w:t xml:space="preserve">Answer: (B) | The intensifier bar is a high-speed rotating blade (1,000–3,600 rpm) inside the V-shell. Cohesive powders tend to form lumps that tumbling alone cannot break. The intensifier bar's high shear breaks these agglomerates, dispersing cohesive particles into the blend. It is particularly used for blends containing microcrystalline cellulose, colloidal silicon dioxide, or APIs with high cohesion.</w:t>
      </w:r>
    </w:p>
    <w:p>
      <w:pPr>
        <w:spacing w:after="60" w:before="60"/>
      </w:pPr>
      <w:r>
        <w:t xml:space="preserve"/>
      </w:r>
    </w:p>
    <w:p>
      <w:pPr>
        <w:spacing w:after="80" w:before="80"/>
        <w:jc w:val="both"/>
      </w:pPr>
      <w:r>
        <w:rPr>
          <w:rFonts w:ascii="Arial" w:cs="Arial" w:eastAsia="Arial" w:hAnsi="Arial"/>
          <w:b/>
          <w:bCs/>
          <w:sz w:val="22"/>
          <w:szCs w:val="22"/>
        </w:rPr>
        <w:t xml:space="preserve">Q6. In a Ribbon Blender, mixing is achieved by:</w:t>
      </w:r>
    </w:p>
    <w:p>
      <w:pPr>
        <w:pStyle w:val="ListParagraph"/>
        <w:numPr>
          <w:ilvl w:val="0"/>
          <w:numId w:val="2"/>
        </w:numPr>
        <w:spacing w:after="60" w:before="60"/>
      </w:pPr>
      <w:r>
        <w:rPr>
          <w:rFonts w:ascii="Arial" w:cs="Arial" w:eastAsia="Arial" w:hAnsi="Arial"/>
          <w:sz w:val="22"/>
          <w:szCs w:val="22"/>
        </w:rPr>
        <w:t xml:space="preserve">(A) Tumbling of material between rotating vessel shells</w:t>
      </w:r>
    </w:p>
    <w:p>
      <w:pPr>
        <w:pStyle w:val="ListParagraph"/>
        <w:numPr>
          <w:ilvl w:val="0"/>
          <w:numId w:val="2"/>
        </w:numPr>
        <w:spacing w:after="60" w:before="60"/>
      </w:pPr>
      <w:r>
        <w:rPr>
          <w:rFonts w:ascii="Arial" w:cs="Arial" w:eastAsia="Arial" w:hAnsi="Arial"/>
          <w:sz w:val="22"/>
          <w:szCs w:val="22"/>
        </w:rPr>
        <w:t xml:space="preserve">(B) Counter-rotating inner and outer helical ribbons creating opposing axial flows — convective mixing from both ends</w:t>
      </w:r>
    </w:p>
    <w:p>
      <w:pPr>
        <w:pStyle w:val="ListParagraph"/>
        <w:numPr>
          <w:ilvl w:val="0"/>
          <w:numId w:val="2"/>
        </w:numPr>
        <w:spacing w:after="60" w:before="60"/>
      </w:pPr>
      <w:r>
        <w:rPr>
          <w:rFonts w:ascii="Arial" w:cs="Arial" w:eastAsia="Arial" w:hAnsi="Arial"/>
          <w:sz w:val="22"/>
          <w:szCs w:val="22"/>
        </w:rPr>
        <w:t xml:space="preserve">(C) High-speed impeller creating centrifugal force in a closed vessel</w:t>
      </w:r>
    </w:p>
    <w:p>
      <w:pPr>
        <w:pStyle w:val="ListParagraph"/>
        <w:numPr>
          <w:ilvl w:val="0"/>
          <w:numId w:val="2"/>
        </w:numPr>
        <w:spacing w:after="60" w:before="60"/>
      </w:pPr>
      <w:r>
        <w:rPr>
          <w:rFonts w:ascii="Arial" w:cs="Arial" w:eastAsia="Arial" w:hAnsi="Arial"/>
          <w:sz w:val="22"/>
          <w:szCs w:val="22"/>
        </w:rPr>
        <w:t xml:space="preserve">(D) Fluidisation of powder by compressed air</w:t>
      </w:r>
    </w:p>
    <w:p>
      <w:pPr>
        <w:spacing w:after="80" w:before="80"/>
        <w:jc w:val="both"/>
      </w:pPr>
      <w:r>
        <w:rPr>
          <w:rFonts w:ascii="Arial" w:cs="Arial" w:eastAsia="Arial" w:hAnsi="Arial"/>
          <w:sz w:val="22"/>
          <w:szCs w:val="22"/>
        </w:rPr>
        <w:t xml:space="preserve">Answer: (B) | The ribbon blender has a double helical ribbon — outer ribbon moves material from one end to the other; inner ribbon moves it in the opposite direction. These counter-current axial flows create complex three-dimensional convective mixing. The resulting folding and recirculation rapidly homogenises the batch. The ribbon also provides some shear mixing as material is moved through the ribbon assembly.</w:t>
      </w:r>
    </w:p>
    <w:p>
      <w:pPr>
        <w:spacing w:after="60" w:before="60"/>
      </w:pPr>
      <w:r>
        <w:t xml:space="preserve"/>
      </w:r>
    </w:p>
    <w:p>
      <w:pPr>
        <w:spacing w:after="80" w:before="80"/>
        <w:jc w:val="both"/>
      </w:pPr>
      <w:r>
        <w:rPr>
          <w:rFonts w:ascii="Arial" w:cs="Arial" w:eastAsia="Arial" w:hAnsi="Arial"/>
          <w:b/>
          <w:bCs/>
          <w:sz w:val="22"/>
          <w:szCs w:val="22"/>
        </w:rPr>
        <w:t xml:space="preserve">Q7. The Sigma Blade Mixer is MOST appropriate for mixing:</w:t>
      </w:r>
    </w:p>
    <w:p>
      <w:pPr>
        <w:pStyle w:val="ListParagraph"/>
        <w:numPr>
          <w:ilvl w:val="0"/>
          <w:numId w:val="2"/>
        </w:numPr>
        <w:spacing w:after="60" w:before="60"/>
      </w:pPr>
      <w:r>
        <w:rPr>
          <w:rFonts w:ascii="Arial" w:cs="Arial" w:eastAsia="Arial" w:hAnsi="Arial"/>
          <w:sz w:val="22"/>
          <w:szCs w:val="22"/>
        </w:rPr>
        <w:t xml:space="preserve">(A) Free-flowing dry tablet granulations</w:t>
      </w:r>
    </w:p>
    <w:p>
      <w:pPr>
        <w:pStyle w:val="ListParagraph"/>
        <w:numPr>
          <w:ilvl w:val="0"/>
          <w:numId w:val="2"/>
        </w:numPr>
        <w:spacing w:after="60" w:before="60"/>
      </w:pPr>
      <w:r>
        <w:rPr>
          <w:rFonts w:ascii="Arial" w:cs="Arial" w:eastAsia="Arial" w:hAnsi="Arial"/>
          <w:sz w:val="22"/>
          <w:szCs w:val="22"/>
        </w:rPr>
        <w:t xml:space="preserve">(B) Very dilute aqueous pharmaceutical solutions</w:t>
      </w:r>
    </w:p>
    <w:p>
      <w:pPr>
        <w:pStyle w:val="ListParagraph"/>
        <w:numPr>
          <w:ilvl w:val="0"/>
          <w:numId w:val="2"/>
        </w:numPr>
        <w:spacing w:after="60" w:before="60"/>
      </w:pPr>
      <w:r>
        <w:rPr>
          <w:rFonts w:ascii="Arial" w:cs="Arial" w:eastAsia="Arial" w:hAnsi="Arial"/>
          <w:sz w:val="22"/>
          <w:szCs w:val="22"/>
        </w:rPr>
        <w:t xml:space="preserve">(C) Stiff, viscous, semi-plastic materials — ointment bases, wax matrices, paste granulations</w:t>
      </w:r>
    </w:p>
    <w:p>
      <w:pPr>
        <w:pStyle w:val="ListParagraph"/>
        <w:numPr>
          <w:ilvl w:val="0"/>
          <w:numId w:val="2"/>
        </w:numPr>
        <w:spacing w:after="60" w:before="60"/>
      </w:pPr>
      <w:r>
        <w:rPr>
          <w:rFonts w:ascii="Arial" w:cs="Arial" w:eastAsia="Arial" w:hAnsi="Arial"/>
          <w:sz w:val="22"/>
          <w:szCs w:val="22"/>
        </w:rPr>
        <w:t xml:space="preserve">(D) Inhalation powder blends requiring gentle tumbling</w:t>
      </w:r>
    </w:p>
    <w:p>
      <w:pPr>
        <w:spacing w:after="80" w:before="80"/>
        <w:jc w:val="both"/>
      </w:pPr>
      <w:r>
        <w:rPr>
          <w:rFonts w:ascii="Arial" w:cs="Arial" w:eastAsia="Arial" w:hAnsi="Arial"/>
          <w:sz w:val="22"/>
          <w:szCs w:val="22"/>
        </w:rPr>
        <w:t xml:space="preserve">Answer: (C) | The counter-rotating sigma blades create intensive shear and kneading action — only effective and necessary for stiff, viscous, or semi-plastic materials that would not flow under gravity. For free-flowing powders, tumbling mixers (V-blender, double cone) are far more appropriate. For dilute solutions, simple paddle or turbine impellers suffice.</w:t>
      </w:r>
    </w:p>
    <w:p>
      <w:pPr>
        <w:spacing w:after="60" w:before="60"/>
      </w:pPr>
      <w:r>
        <w:t xml:space="preserve"/>
      </w:r>
    </w:p>
    <w:p>
      <w:pPr>
        <w:spacing w:after="80" w:before="80"/>
        <w:jc w:val="both"/>
      </w:pPr>
      <w:r>
        <w:rPr>
          <w:rFonts w:ascii="Arial" w:cs="Arial" w:eastAsia="Arial" w:hAnsi="Arial"/>
          <w:b/>
          <w:bCs/>
          <w:sz w:val="22"/>
          <w:szCs w:val="22"/>
        </w:rPr>
        <w:t xml:space="preserve">Q8. In a High-Shear Granulator (HSG), the granulation endpoint is detected by monitoring:</w:t>
      </w:r>
    </w:p>
    <w:p>
      <w:pPr>
        <w:pStyle w:val="ListParagraph"/>
        <w:numPr>
          <w:ilvl w:val="0"/>
          <w:numId w:val="2"/>
        </w:numPr>
        <w:spacing w:after="60" w:before="60"/>
      </w:pPr>
      <w:r>
        <w:rPr>
          <w:rFonts w:ascii="Arial" w:cs="Arial" w:eastAsia="Arial" w:hAnsi="Arial"/>
          <w:sz w:val="22"/>
          <w:szCs w:val="22"/>
        </w:rPr>
        <w:t xml:space="preserve">(A) Moisture content of the wet mass by NIR probe</w:t>
      </w:r>
    </w:p>
    <w:p>
      <w:pPr>
        <w:pStyle w:val="ListParagraph"/>
        <w:numPr>
          <w:ilvl w:val="0"/>
          <w:numId w:val="2"/>
        </w:numPr>
        <w:spacing w:after="60" w:before="60"/>
      </w:pPr>
      <w:r>
        <w:rPr>
          <w:rFonts w:ascii="Arial" w:cs="Arial" w:eastAsia="Arial" w:hAnsi="Arial"/>
          <w:sz w:val="22"/>
          <w:szCs w:val="22"/>
        </w:rPr>
        <w:t xml:space="preserve">(B) Impeller motor torque or power consumption — increases as granules grow and wet mass viscosity increases</w:t>
      </w:r>
    </w:p>
    <w:p>
      <w:pPr>
        <w:pStyle w:val="ListParagraph"/>
        <w:numPr>
          <w:ilvl w:val="0"/>
          <w:numId w:val="2"/>
        </w:numPr>
        <w:spacing w:after="60" w:before="60"/>
      </w:pPr>
      <w:r>
        <w:rPr>
          <w:rFonts w:ascii="Arial" w:cs="Arial" w:eastAsia="Arial" w:hAnsi="Arial"/>
          <w:sz w:val="22"/>
          <w:szCs w:val="22"/>
        </w:rPr>
        <w:t xml:space="preserve">(C) Granule particle size by inline FBRM probe</w:t>
      </w:r>
    </w:p>
    <w:p>
      <w:pPr>
        <w:pStyle w:val="ListParagraph"/>
        <w:numPr>
          <w:ilvl w:val="0"/>
          <w:numId w:val="2"/>
        </w:numPr>
        <w:spacing w:after="60" w:before="60"/>
      </w:pPr>
      <w:r>
        <w:rPr>
          <w:rFonts w:ascii="Arial" w:cs="Arial" w:eastAsia="Arial" w:hAnsi="Arial"/>
          <w:sz w:val="22"/>
          <w:szCs w:val="22"/>
        </w:rPr>
        <w:t xml:space="preserve">(D) Temperature of the wet mass</w:t>
      </w:r>
    </w:p>
    <w:p>
      <w:pPr>
        <w:spacing w:after="80" w:before="80"/>
        <w:jc w:val="both"/>
      </w:pPr>
      <w:r>
        <w:rPr>
          <w:rFonts w:ascii="Arial" w:cs="Arial" w:eastAsia="Arial" w:hAnsi="Arial"/>
          <w:sz w:val="22"/>
          <w:szCs w:val="22"/>
        </w:rPr>
        <w:t xml:space="preserve">Answer: (B) | As granulation progresses and granules grow, the wet mass becomes more viscous and denser, requiring more force (torque) from the impeller motor. Monitoring torque/power provides a real-time indicator of granule growth. A characteristic torque profile (initial mixing, gradual increase during binder addition, plateau at endpoint) is established during development and used as the reproducible endpoint criterion.</w:t>
      </w:r>
    </w:p>
    <w:p>
      <w:pPr>
        <w:spacing w:after="60" w:before="60"/>
      </w:pPr>
      <w:r>
        <w:t xml:space="preserve"/>
      </w:r>
    </w:p>
    <w:p>
      <w:pPr>
        <w:spacing w:after="80" w:before="80"/>
        <w:jc w:val="both"/>
      </w:pPr>
      <w:r>
        <w:rPr>
          <w:rFonts w:ascii="Arial" w:cs="Arial" w:eastAsia="Arial" w:hAnsi="Arial"/>
          <w:b/>
          <w:bCs/>
          <w:sz w:val="22"/>
          <w:szCs w:val="22"/>
        </w:rPr>
        <w:t xml:space="preserve">Q9. Baffles in a liquid mixing vessel are used to:</w:t>
      </w:r>
    </w:p>
    <w:p>
      <w:pPr>
        <w:pStyle w:val="ListParagraph"/>
        <w:numPr>
          <w:ilvl w:val="0"/>
          <w:numId w:val="2"/>
        </w:numPr>
        <w:spacing w:after="60" w:before="60"/>
      </w:pPr>
      <w:r>
        <w:rPr>
          <w:rFonts w:ascii="Arial" w:cs="Arial" w:eastAsia="Arial" w:hAnsi="Arial"/>
          <w:sz w:val="22"/>
          <w:szCs w:val="22"/>
        </w:rPr>
        <w:t xml:space="preserve">(A) Slow down the impeller to prevent vortex formation</w:t>
      </w:r>
    </w:p>
    <w:p>
      <w:pPr>
        <w:pStyle w:val="ListParagraph"/>
        <w:numPr>
          <w:ilvl w:val="0"/>
          <w:numId w:val="2"/>
        </w:numPr>
        <w:spacing w:after="60" w:before="60"/>
      </w:pPr>
      <w:r>
        <w:rPr>
          <w:rFonts w:ascii="Arial" w:cs="Arial" w:eastAsia="Arial" w:hAnsi="Arial"/>
          <w:sz w:val="22"/>
          <w:szCs w:val="22"/>
        </w:rPr>
        <w:t xml:space="preserve">(B) Break up the rotational liquid motion into turbulent axial-radial flow — dramatically improving mixing efficiency</w:t>
      </w:r>
    </w:p>
    <w:p>
      <w:pPr>
        <w:pStyle w:val="ListParagraph"/>
        <w:numPr>
          <w:ilvl w:val="0"/>
          <w:numId w:val="2"/>
        </w:numPr>
        <w:spacing w:after="60" w:before="60"/>
      </w:pPr>
      <w:r>
        <w:rPr>
          <w:rFonts w:ascii="Arial" w:cs="Arial" w:eastAsia="Arial" w:hAnsi="Arial"/>
          <w:sz w:val="22"/>
          <w:szCs w:val="22"/>
        </w:rPr>
        <w:t xml:space="preserve">(C) Provide additional surface area for heat transfer</w:t>
      </w:r>
    </w:p>
    <w:p>
      <w:pPr>
        <w:pStyle w:val="ListParagraph"/>
        <w:numPr>
          <w:ilvl w:val="0"/>
          <w:numId w:val="2"/>
        </w:numPr>
        <w:spacing w:after="60" w:before="60"/>
      </w:pPr>
      <w:r>
        <w:rPr>
          <w:rFonts w:ascii="Arial" w:cs="Arial" w:eastAsia="Arial" w:hAnsi="Arial"/>
          <w:sz w:val="22"/>
          <w:szCs w:val="22"/>
        </w:rPr>
        <w:t xml:space="preserve">(D) Prevent liquid from contacting the vessel wall</w:t>
      </w:r>
    </w:p>
    <w:p>
      <w:pPr>
        <w:spacing w:after="80" w:before="80"/>
        <w:jc w:val="both"/>
      </w:pPr>
      <w:r>
        <w:rPr>
          <w:rFonts w:ascii="Arial" w:cs="Arial" w:eastAsia="Arial" w:hAnsi="Arial"/>
          <w:sz w:val="22"/>
          <w:szCs w:val="22"/>
        </w:rPr>
        <w:t xml:space="preserve">Answer: (B) | Without baffles, liquid rotates tangentially as a solid body with the impeller — deep central vortex forms but actual bulk mixing is poor. Baffles (4 vertical plates at 90°, 8–10% of vessel diameter wide) break up this rotational flow into turbulent axial and radial components. With baffles, Power Number (Np) increases ~5×, mixing time decreases significantly, and the rotating vortex is eliminated.</w:t>
      </w:r>
    </w:p>
    <w:p>
      <w:pPr>
        <w:spacing w:after="60" w:before="60"/>
      </w:pPr>
      <w:r>
        <w:t xml:space="preserve"/>
      </w:r>
    </w:p>
    <w:p>
      <w:pPr>
        <w:spacing w:after="80" w:before="80"/>
        <w:jc w:val="both"/>
      </w:pPr>
      <w:r>
        <w:rPr>
          <w:rFonts w:ascii="Arial" w:cs="Arial" w:eastAsia="Arial" w:hAnsi="Arial"/>
          <w:b/>
          <w:bCs/>
          <w:sz w:val="22"/>
          <w:szCs w:val="22"/>
        </w:rPr>
        <w:t xml:space="preserve">Q10. The Reynolds number for liquid mixing (Re = N × D² × ρ / µ) for turbulent mixing requires Re:</w:t>
      </w:r>
    </w:p>
    <w:p>
      <w:pPr>
        <w:pStyle w:val="ListParagraph"/>
        <w:numPr>
          <w:ilvl w:val="0"/>
          <w:numId w:val="2"/>
        </w:numPr>
        <w:spacing w:after="60" w:before="60"/>
      </w:pPr>
      <w:r>
        <w:rPr>
          <w:rFonts w:ascii="Arial" w:cs="Arial" w:eastAsia="Arial" w:hAnsi="Arial"/>
          <w:sz w:val="22"/>
          <w:szCs w:val="22"/>
        </w:rPr>
        <w:t xml:space="preserve">(A) &lt; 10</w:t>
      </w:r>
    </w:p>
    <w:p>
      <w:pPr>
        <w:pStyle w:val="ListParagraph"/>
        <w:numPr>
          <w:ilvl w:val="0"/>
          <w:numId w:val="2"/>
        </w:numPr>
        <w:spacing w:after="60" w:before="60"/>
      </w:pPr>
      <w:r>
        <w:rPr>
          <w:rFonts w:ascii="Arial" w:cs="Arial" w:eastAsia="Arial" w:hAnsi="Arial"/>
          <w:sz w:val="22"/>
          <w:szCs w:val="22"/>
        </w:rPr>
        <w:t xml:space="preserve">(B) 10–10,000</w:t>
      </w:r>
    </w:p>
    <w:p>
      <w:pPr>
        <w:pStyle w:val="ListParagraph"/>
        <w:numPr>
          <w:ilvl w:val="0"/>
          <w:numId w:val="2"/>
        </w:numPr>
        <w:spacing w:after="60" w:before="60"/>
      </w:pPr>
      <w:r>
        <w:rPr>
          <w:rFonts w:ascii="Arial" w:cs="Arial" w:eastAsia="Arial" w:hAnsi="Arial"/>
          <w:sz w:val="22"/>
          <w:szCs w:val="22"/>
        </w:rPr>
        <w:t xml:space="preserve">(C) &gt; 10,000</w:t>
      </w:r>
    </w:p>
    <w:p>
      <w:pPr>
        <w:pStyle w:val="ListParagraph"/>
        <w:numPr>
          <w:ilvl w:val="0"/>
          <w:numId w:val="2"/>
        </w:numPr>
        <w:spacing w:after="60" w:before="60"/>
      </w:pPr>
      <w:r>
        <w:rPr>
          <w:rFonts w:ascii="Arial" w:cs="Arial" w:eastAsia="Arial" w:hAnsi="Arial"/>
          <w:sz w:val="22"/>
          <w:szCs w:val="22"/>
        </w:rPr>
        <w:t xml:space="preserve">(D) = 1000 exactly</w:t>
      </w:r>
    </w:p>
    <w:p>
      <w:pPr>
        <w:spacing w:after="80" w:before="80"/>
        <w:jc w:val="both"/>
      </w:pPr>
      <w:r>
        <w:rPr>
          <w:rFonts w:ascii="Arial" w:cs="Arial" w:eastAsia="Arial" w:hAnsi="Arial"/>
          <w:sz w:val="22"/>
          <w:szCs w:val="22"/>
        </w:rPr>
        <w:t xml:space="preserve">Answer: (C) | Re &gt; 10,000 indicates fully turbulent mixing — rapid, efficient, uniform. Re &lt; 10 = laminar mixing (slow, poor uniformity for most applications). Re 10–10,000 = transition regime. For pharmaceutical liquid mixing, turbulent conditions (Re &gt; 10,000) are targeted by appropriate impeller selection, speed, and vessel design.</w:t>
      </w:r>
    </w:p>
    <w:p>
      <w:pPr>
        <w:spacing w:after="60" w:before="60"/>
      </w:pPr>
      <w:r>
        <w:t xml:space="preserve"/>
      </w:r>
    </w:p>
    <w:p>
      <w:pPr>
        <w:spacing w:after="80" w:before="80"/>
        <w:jc w:val="both"/>
      </w:pPr>
      <w:r>
        <w:rPr>
          <w:rFonts w:ascii="Arial" w:cs="Arial" w:eastAsia="Arial" w:hAnsi="Arial"/>
          <w:b/>
          <w:bCs/>
          <w:sz w:val="22"/>
          <w:szCs w:val="22"/>
        </w:rPr>
        <w:t xml:space="preserve">Q11. A Rushton turbine impeller creates which primary flow pattern?</w:t>
      </w:r>
    </w:p>
    <w:p>
      <w:pPr>
        <w:pStyle w:val="ListParagraph"/>
        <w:numPr>
          <w:ilvl w:val="0"/>
          <w:numId w:val="2"/>
        </w:numPr>
        <w:spacing w:after="60" w:before="60"/>
      </w:pPr>
      <w:r>
        <w:rPr>
          <w:rFonts w:ascii="Arial" w:cs="Arial" w:eastAsia="Arial" w:hAnsi="Arial"/>
          <w:sz w:val="22"/>
          <w:szCs w:val="22"/>
        </w:rPr>
        <w:t xml:space="preserve">(A) Axial flow — top to bottom circulation</w:t>
      </w:r>
    </w:p>
    <w:p>
      <w:pPr>
        <w:pStyle w:val="ListParagraph"/>
        <w:numPr>
          <w:ilvl w:val="0"/>
          <w:numId w:val="2"/>
        </w:numPr>
        <w:spacing w:after="60" w:before="60"/>
      </w:pPr>
      <w:r>
        <w:rPr>
          <w:rFonts w:ascii="Arial" w:cs="Arial" w:eastAsia="Arial" w:hAnsi="Arial"/>
          <w:sz w:val="22"/>
          <w:szCs w:val="22"/>
        </w:rPr>
        <w:t xml:space="preserve">(B) Tangential flow — circular rotation without vertical mixing</w:t>
      </w:r>
    </w:p>
    <w:p>
      <w:pPr>
        <w:pStyle w:val="ListParagraph"/>
        <w:numPr>
          <w:ilvl w:val="0"/>
          <w:numId w:val="2"/>
        </w:numPr>
        <w:spacing w:after="60" w:before="60"/>
      </w:pPr>
      <w:r>
        <w:rPr>
          <w:rFonts w:ascii="Arial" w:cs="Arial" w:eastAsia="Arial" w:hAnsi="Arial"/>
          <w:sz w:val="22"/>
          <w:szCs w:val="22"/>
        </w:rPr>
        <w:t xml:space="preserve">(C) Radial flow — liquid thrown outward from impeller to vessel wall, then up and down the walls</w:t>
      </w:r>
    </w:p>
    <w:p>
      <w:pPr>
        <w:pStyle w:val="ListParagraph"/>
        <w:numPr>
          <w:ilvl w:val="0"/>
          <w:numId w:val="2"/>
        </w:numPr>
        <w:spacing w:after="60" w:before="60"/>
      </w:pPr>
      <w:r>
        <w:rPr>
          <w:rFonts w:ascii="Arial" w:cs="Arial" w:eastAsia="Arial" w:hAnsi="Arial"/>
          <w:sz w:val="22"/>
          <w:szCs w:val="22"/>
        </w:rPr>
        <w:t xml:space="preserve">(D) Counter-current helical flow</w:t>
      </w:r>
    </w:p>
    <w:p>
      <w:pPr>
        <w:spacing w:after="80" w:before="80"/>
        <w:jc w:val="both"/>
      </w:pPr>
      <w:r>
        <w:rPr>
          <w:rFonts w:ascii="Arial" w:cs="Arial" w:eastAsia="Arial" w:hAnsi="Arial"/>
          <w:sz w:val="22"/>
          <w:szCs w:val="22"/>
        </w:rPr>
        <w:t xml:space="preserve">Answer: (C) | The Rushton turbine (disc turbine with 4–6 flat vertical blades) creates primarily radial flow — liquid is thrown outward centrifugally from the impeller tips to the vessel wall, where it divides and flows upward and downward, creating two recirculation loops above and below the impeller. This creates high shear near the impeller and good bulk recirculation. Propeller impellers create axial flow.</w:t>
      </w:r>
    </w:p>
    <w:p>
      <w:pPr>
        <w:spacing w:after="60" w:before="60"/>
      </w:pPr>
      <w:r>
        <w:t xml:space="preserve"/>
      </w:r>
    </w:p>
    <w:p>
      <w:pPr>
        <w:spacing w:after="80" w:before="80"/>
        <w:jc w:val="both"/>
      </w:pPr>
      <w:r>
        <w:rPr>
          <w:rFonts w:ascii="Arial" w:cs="Arial" w:eastAsia="Arial" w:hAnsi="Arial"/>
          <w:b/>
          <w:bCs/>
          <w:sz w:val="22"/>
          <w:szCs w:val="22"/>
        </w:rPr>
        <w:t xml:space="preserve">Q12. Ordered (adhesion) mixing is used for very low-dose APIs because:</w:t>
      </w:r>
    </w:p>
    <w:p>
      <w:pPr>
        <w:pStyle w:val="ListParagraph"/>
        <w:numPr>
          <w:ilvl w:val="0"/>
          <w:numId w:val="2"/>
        </w:numPr>
        <w:spacing w:after="60" w:before="60"/>
      </w:pPr>
      <w:r>
        <w:rPr>
          <w:rFonts w:ascii="Arial" w:cs="Arial" w:eastAsia="Arial" w:hAnsi="Arial"/>
          <w:sz w:val="22"/>
          <w:szCs w:val="22"/>
        </w:rPr>
        <w:t xml:space="preserve">(A) It reduces mixing time significantly compared to conventional tumbling</w:t>
      </w:r>
    </w:p>
    <w:p>
      <w:pPr>
        <w:pStyle w:val="ListParagraph"/>
        <w:numPr>
          <w:ilvl w:val="0"/>
          <w:numId w:val="2"/>
        </w:numPr>
        <w:spacing w:after="60" w:before="60"/>
      </w:pPr>
      <w:r>
        <w:rPr>
          <w:rFonts w:ascii="Arial" w:cs="Arial" w:eastAsia="Arial" w:hAnsi="Arial"/>
          <w:sz w:val="22"/>
          <w:szCs w:val="22"/>
        </w:rPr>
        <w:t xml:space="preserve">(B) Drug particles (&lt; 5 µm) adhere to larger carrier particles (100–200 µm) by van der Waals forces — reducing segregation risk and improving content uniformity</w:t>
      </w:r>
    </w:p>
    <w:p>
      <w:pPr>
        <w:pStyle w:val="ListParagraph"/>
        <w:numPr>
          <w:ilvl w:val="0"/>
          <w:numId w:val="2"/>
        </w:numPr>
        <w:spacing w:after="60" w:before="60"/>
      </w:pPr>
      <w:r>
        <w:rPr>
          <w:rFonts w:ascii="Arial" w:cs="Arial" w:eastAsia="Arial" w:hAnsi="Arial"/>
          <w:sz w:val="22"/>
          <w:szCs w:val="22"/>
        </w:rPr>
        <w:t xml:space="preserve">(C) It allows API to be mixed without any excipients</w:t>
      </w:r>
    </w:p>
    <w:p>
      <w:pPr>
        <w:pStyle w:val="ListParagraph"/>
        <w:numPr>
          <w:ilvl w:val="0"/>
          <w:numId w:val="2"/>
        </w:numPr>
        <w:spacing w:after="60" w:before="60"/>
      </w:pPr>
      <w:r>
        <w:rPr>
          <w:rFonts w:ascii="Arial" w:cs="Arial" w:eastAsia="Arial" w:hAnsi="Arial"/>
          <w:sz w:val="22"/>
          <w:szCs w:val="22"/>
        </w:rPr>
        <w:t xml:space="preserve">(D) Ordered mixing does not require GMP-compliant equipment</w:t>
      </w:r>
    </w:p>
    <w:p>
      <w:pPr>
        <w:spacing w:after="80" w:before="80"/>
        <w:jc w:val="both"/>
      </w:pPr>
      <w:r>
        <w:rPr>
          <w:rFonts w:ascii="Arial" w:cs="Arial" w:eastAsia="Arial" w:hAnsi="Arial"/>
          <w:sz w:val="22"/>
          <w:szCs w:val="22"/>
        </w:rPr>
        <w:t xml:space="preserve">Answer: (B) | For APIs present at &lt; 2% (very low dose), conventional random mixing leads to segregation — tiny drug particles percolate to the bottom. Ordered mixing uses micro-sized drug particles adhered to macro-sized carrier particles. This creates a stable interactive mixture — drug particles cannot segregate because they are fixed to the carrier surface. Used for DPI blends (micronised drug + lactose carrier) and low-dose tablets (amlodipine 2.5 mg).</w:t>
      </w:r>
    </w:p>
    <w:p>
      <w:pPr>
        <w:spacing w:after="60" w:before="60"/>
      </w:pPr>
      <w:r>
        <w:t xml:space="preserve"/>
      </w:r>
    </w:p>
    <w:p>
      <w:pPr>
        <w:spacing w:after="80" w:before="80"/>
        <w:jc w:val="both"/>
      </w:pPr>
      <w:r>
        <w:rPr>
          <w:rFonts w:ascii="Arial" w:cs="Arial" w:eastAsia="Arial" w:hAnsi="Arial"/>
          <w:b/>
          <w:bCs/>
          <w:sz w:val="22"/>
          <w:szCs w:val="22"/>
        </w:rPr>
        <w:t xml:space="preserve">Q13. The primary difference between a Double Cone Blender and a V-Blender is:</w:t>
      </w:r>
    </w:p>
    <w:p>
      <w:pPr>
        <w:pStyle w:val="ListParagraph"/>
        <w:numPr>
          <w:ilvl w:val="0"/>
          <w:numId w:val="2"/>
        </w:numPr>
        <w:spacing w:after="60" w:before="60"/>
      </w:pPr>
      <w:r>
        <w:rPr>
          <w:rFonts w:ascii="Arial" w:cs="Arial" w:eastAsia="Arial" w:hAnsi="Arial"/>
          <w:sz w:val="22"/>
          <w:szCs w:val="22"/>
        </w:rPr>
        <w:t xml:space="preserve">(A) Double cone is for liquids; V-blender is for solids only</w:t>
      </w:r>
    </w:p>
    <w:p>
      <w:pPr>
        <w:pStyle w:val="ListParagraph"/>
        <w:numPr>
          <w:ilvl w:val="0"/>
          <w:numId w:val="2"/>
        </w:numPr>
        <w:spacing w:after="60" w:before="60"/>
      </w:pPr>
      <w:r>
        <w:rPr>
          <w:rFonts w:ascii="Arial" w:cs="Arial" w:eastAsia="Arial" w:hAnsi="Arial"/>
          <w:sz w:val="22"/>
          <w:szCs w:val="22"/>
        </w:rPr>
        <w:t xml:space="preserve">(B) V-blender uses a splitting-recombination mechanism (powder alternately combines at vertex and separates into arms) — generally more efficient than the cascading tumbling action of the double cone</w:t>
      </w:r>
    </w:p>
    <w:p>
      <w:pPr>
        <w:pStyle w:val="ListParagraph"/>
        <w:numPr>
          <w:ilvl w:val="0"/>
          <w:numId w:val="2"/>
        </w:numPr>
        <w:spacing w:after="60" w:before="60"/>
      </w:pPr>
      <w:r>
        <w:rPr>
          <w:rFonts w:ascii="Arial" w:cs="Arial" w:eastAsia="Arial" w:hAnsi="Arial"/>
          <w:sz w:val="22"/>
          <w:szCs w:val="22"/>
        </w:rPr>
        <w:t xml:space="preserve">(C) Double cone rotates at higher speeds than V-blender</w:t>
      </w:r>
    </w:p>
    <w:p>
      <w:pPr>
        <w:pStyle w:val="ListParagraph"/>
        <w:numPr>
          <w:ilvl w:val="0"/>
          <w:numId w:val="2"/>
        </w:numPr>
        <w:spacing w:after="60" w:before="60"/>
      </w:pPr>
      <w:r>
        <w:rPr>
          <w:rFonts w:ascii="Arial" w:cs="Arial" w:eastAsia="Arial" w:hAnsi="Arial"/>
          <w:sz w:val="22"/>
          <w:szCs w:val="22"/>
        </w:rPr>
        <w:t xml:space="preserve">(D) V-blender can only be used in sterile manufacturing</w:t>
      </w:r>
    </w:p>
    <w:p>
      <w:pPr>
        <w:spacing w:after="80" w:before="80"/>
        <w:jc w:val="both"/>
      </w:pPr>
      <w:r>
        <w:rPr>
          <w:rFonts w:ascii="Arial" w:cs="Arial" w:eastAsia="Arial" w:hAnsi="Arial"/>
          <w:sz w:val="22"/>
          <w:szCs w:val="22"/>
        </w:rPr>
        <w:t xml:space="preserve">Answer: (B) | Both are tumbling mixers for dry powders, but their mixing mechanisms differ. Double cone: powder cascades from one cone to the other through the equatorial zone — tumbling/cascading. V-blender: powder streams split into two arms, then recombine at the vertex — splitting-recombination. The V-blender's mechanism is generally more efficient and achieves mixing in fewer revolutions.</w:t>
      </w:r>
    </w:p>
    <w:p>
      <w:pPr>
        <w:spacing w:after="60" w:before="60"/>
      </w:pPr>
      <w:r>
        <w:t xml:space="preserve"/>
      </w:r>
    </w:p>
    <w:p>
      <w:pPr>
        <w:spacing w:after="80" w:before="80"/>
        <w:jc w:val="both"/>
      </w:pPr>
      <w:r>
        <w:rPr>
          <w:rFonts w:ascii="Arial" w:cs="Arial" w:eastAsia="Arial" w:hAnsi="Arial"/>
          <w:b/>
          <w:bCs/>
          <w:sz w:val="22"/>
          <w:szCs w:val="22"/>
        </w:rPr>
        <w:t xml:space="preserve">Q14. In high-shear granulation, the chopper blade's primary function is:</w:t>
      </w:r>
    </w:p>
    <w:p>
      <w:pPr>
        <w:pStyle w:val="ListParagraph"/>
        <w:numPr>
          <w:ilvl w:val="0"/>
          <w:numId w:val="2"/>
        </w:numPr>
        <w:spacing w:after="60" w:before="60"/>
      </w:pPr>
      <w:r>
        <w:rPr>
          <w:rFonts w:ascii="Arial" w:cs="Arial" w:eastAsia="Arial" w:hAnsi="Arial"/>
          <w:sz w:val="22"/>
          <w:szCs w:val="22"/>
        </w:rPr>
        <w:t xml:space="preserve">(A) To cut the drug powder into smaller particles before granulation</w:t>
      </w:r>
    </w:p>
    <w:p>
      <w:pPr>
        <w:pStyle w:val="ListParagraph"/>
        <w:numPr>
          <w:ilvl w:val="0"/>
          <w:numId w:val="2"/>
        </w:numPr>
        <w:spacing w:after="60" w:before="60"/>
      </w:pPr>
      <w:r>
        <w:rPr>
          <w:rFonts w:ascii="Arial" w:cs="Arial" w:eastAsia="Arial" w:hAnsi="Arial"/>
          <w:sz w:val="22"/>
          <w:szCs w:val="22"/>
        </w:rPr>
        <w:t xml:space="preserve">(B) To break up large agglomerates and lumps that form during wet massing — preventing over-sized granule formation</w:t>
      </w:r>
    </w:p>
    <w:p>
      <w:pPr>
        <w:pStyle w:val="ListParagraph"/>
        <w:numPr>
          <w:ilvl w:val="0"/>
          <w:numId w:val="2"/>
        </w:numPr>
        <w:spacing w:after="60" w:before="60"/>
      </w:pPr>
      <w:r>
        <w:rPr>
          <w:rFonts w:ascii="Arial" w:cs="Arial" w:eastAsia="Arial" w:hAnsi="Arial"/>
          <w:sz w:val="22"/>
          <w:szCs w:val="22"/>
        </w:rPr>
        <w:t xml:space="preserve">(C) To control the temperature of the wet mass</w:t>
      </w:r>
    </w:p>
    <w:p>
      <w:pPr>
        <w:pStyle w:val="ListParagraph"/>
        <w:numPr>
          <w:ilvl w:val="0"/>
          <w:numId w:val="2"/>
        </w:numPr>
        <w:spacing w:after="60" w:before="60"/>
      </w:pPr>
      <w:r>
        <w:rPr>
          <w:rFonts w:ascii="Arial" w:cs="Arial" w:eastAsia="Arial" w:hAnsi="Arial"/>
          <w:sz w:val="22"/>
          <w:szCs w:val="22"/>
        </w:rPr>
        <w:t xml:space="preserve">(D) To discharge granules from the bowl</w:t>
      </w:r>
    </w:p>
    <w:p>
      <w:pPr>
        <w:spacing w:after="80" w:before="80"/>
        <w:jc w:val="both"/>
      </w:pPr>
      <w:r>
        <w:rPr>
          <w:rFonts w:ascii="Arial" w:cs="Arial" w:eastAsia="Arial" w:hAnsi="Arial"/>
          <w:sz w:val="22"/>
          <w:szCs w:val="22"/>
        </w:rPr>
        <w:t xml:space="preserve">Answer: (B) | The chopper (side chopper) rotates at 1,000–3,600 rpm on the side wall of the HSG bowl. During granulation, large wet agglomerates form as the binder solution is added and the wet mass becomes sticky. The chopper blade breaks these agglomerates, maintaining the granule size within the desired range. Without the chopper, large lumps would dominate and granulation quality would be poor.</w:t>
      </w:r>
    </w:p>
    <w:p>
      <w:pPr>
        <w:spacing w:after="60" w:before="60"/>
      </w:pPr>
      <w:r>
        <w:t xml:space="preserve"/>
      </w:r>
    </w:p>
    <w:p>
      <w:pPr>
        <w:spacing w:after="80" w:before="80"/>
        <w:jc w:val="both"/>
      </w:pPr>
      <w:r>
        <w:rPr>
          <w:rFonts w:ascii="Arial" w:cs="Arial" w:eastAsia="Arial" w:hAnsi="Arial"/>
          <w:b/>
          <w:bCs/>
          <w:sz w:val="22"/>
          <w:szCs w:val="22"/>
        </w:rPr>
        <w:t xml:space="preserve">Q15. The anchor impeller is used in liquid mixing for:</w:t>
      </w:r>
    </w:p>
    <w:p>
      <w:pPr>
        <w:pStyle w:val="ListParagraph"/>
        <w:numPr>
          <w:ilvl w:val="0"/>
          <w:numId w:val="2"/>
        </w:numPr>
        <w:spacing w:after="60" w:before="60"/>
      </w:pPr>
      <w:r>
        <w:rPr>
          <w:rFonts w:ascii="Arial" w:cs="Arial" w:eastAsia="Arial" w:hAnsi="Arial"/>
          <w:sz w:val="22"/>
          <w:szCs w:val="22"/>
        </w:rPr>
        <w:t xml:space="preserve">(A) High-speed turbulent mixing of low-viscosity solutions</w:t>
      </w:r>
    </w:p>
    <w:p>
      <w:pPr>
        <w:pStyle w:val="ListParagraph"/>
        <w:numPr>
          <w:ilvl w:val="0"/>
          <w:numId w:val="2"/>
        </w:numPr>
        <w:spacing w:after="60" w:before="60"/>
      </w:pPr>
      <w:r>
        <w:rPr>
          <w:rFonts w:ascii="Arial" w:cs="Arial" w:eastAsia="Arial" w:hAnsi="Arial"/>
          <w:sz w:val="22"/>
          <w:szCs w:val="22"/>
        </w:rPr>
        <w:t xml:space="preserve">(B) Mixing of very viscous materials — the large C-shaped blade sweeps the vessel wall, preventing material sticking and improving heat transfer through jacketed wall</w:t>
      </w:r>
    </w:p>
    <w:p>
      <w:pPr>
        <w:pStyle w:val="ListParagraph"/>
        <w:numPr>
          <w:ilvl w:val="0"/>
          <w:numId w:val="2"/>
        </w:numPr>
        <w:spacing w:after="60" w:before="60"/>
      </w:pPr>
      <w:r>
        <w:rPr>
          <w:rFonts w:ascii="Arial" w:cs="Arial" w:eastAsia="Arial" w:hAnsi="Arial"/>
          <w:sz w:val="22"/>
          <w:szCs w:val="22"/>
        </w:rPr>
        <w:t xml:space="preserve">(C) Dispersing gases into pharmaceutical liquids for fermentation</w:t>
      </w:r>
    </w:p>
    <w:p>
      <w:pPr>
        <w:pStyle w:val="ListParagraph"/>
        <w:numPr>
          <w:ilvl w:val="0"/>
          <w:numId w:val="2"/>
        </w:numPr>
        <w:spacing w:after="60" w:before="60"/>
      </w:pPr>
      <w:r>
        <w:rPr>
          <w:rFonts w:ascii="Arial" w:cs="Arial" w:eastAsia="Arial" w:hAnsi="Arial"/>
          <w:sz w:val="22"/>
          <w:szCs w:val="22"/>
        </w:rPr>
        <w:t xml:space="preserve">(D) Preparing very fine emulsions by high shear between blade and vessel wall</w:t>
      </w:r>
    </w:p>
    <w:p>
      <w:pPr>
        <w:spacing w:after="80" w:before="80"/>
        <w:jc w:val="both"/>
      </w:pPr>
      <w:r>
        <w:rPr>
          <w:rFonts w:ascii="Arial" w:cs="Arial" w:eastAsia="Arial" w:hAnsi="Arial"/>
          <w:sz w:val="22"/>
          <w:szCs w:val="22"/>
        </w:rPr>
        <w:t xml:space="preserve">Answer: (B) | The anchor impeller's C-shape closely conforms to the vessel wall shape. For very viscous materials (ointment bases, thick syrups, polymer solutions), turbine impellers are ineffective — they cannot circulate the viscous material adequately. The anchor sweeps the entire vessel wall surface, scraping off material, promoting heat transfer from the jacket, and creating a slow but complete recirculation pattern.</w:t>
      </w:r>
    </w:p>
    <w:p>
      <w:pPr>
        <w:spacing w:after="60" w:before="60"/>
      </w:pPr>
      <w:r>
        <w:t xml:space="preserve"/>
      </w:r>
    </w:p>
    <w:p>
      <w:pPr>
        <w:spacing w:after="80" w:before="80"/>
        <w:jc w:val="both"/>
      </w:pPr>
      <w:r>
        <w:rPr>
          <w:rFonts w:ascii="Arial" w:cs="Arial" w:eastAsia="Arial" w:hAnsi="Arial"/>
          <w:b/>
          <w:bCs/>
          <w:sz w:val="22"/>
          <w:szCs w:val="22"/>
        </w:rPr>
        <w:t xml:space="preserve">Q16. The standard RSD specification for pharmaceutical blend uniformity (ICH guidance) is:</w:t>
      </w:r>
    </w:p>
    <w:p>
      <w:pPr>
        <w:pStyle w:val="ListParagraph"/>
        <w:numPr>
          <w:ilvl w:val="0"/>
          <w:numId w:val="2"/>
        </w:numPr>
        <w:spacing w:after="60" w:before="60"/>
      </w:pPr>
      <w:r>
        <w:rPr>
          <w:rFonts w:ascii="Arial" w:cs="Arial" w:eastAsia="Arial" w:hAnsi="Arial"/>
          <w:sz w:val="22"/>
          <w:szCs w:val="22"/>
        </w:rPr>
        <w:t xml:space="preserve">(A) ≤ 5% RSD</w:t>
      </w:r>
    </w:p>
    <w:p>
      <w:pPr>
        <w:pStyle w:val="ListParagraph"/>
        <w:numPr>
          <w:ilvl w:val="0"/>
          <w:numId w:val="2"/>
        </w:numPr>
        <w:spacing w:after="60" w:before="60"/>
      </w:pPr>
      <w:r>
        <w:rPr>
          <w:rFonts w:ascii="Arial" w:cs="Arial" w:eastAsia="Arial" w:hAnsi="Arial"/>
          <w:sz w:val="22"/>
          <w:szCs w:val="22"/>
        </w:rPr>
        <w:t xml:space="preserve">(B) ≤ 2% RSD</w:t>
      </w:r>
    </w:p>
    <w:p>
      <w:pPr>
        <w:pStyle w:val="ListParagraph"/>
        <w:numPr>
          <w:ilvl w:val="0"/>
          <w:numId w:val="2"/>
        </w:numPr>
        <w:spacing w:after="60" w:before="60"/>
      </w:pPr>
      <w:r>
        <w:rPr>
          <w:rFonts w:ascii="Arial" w:cs="Arial" w:eastAsia="Arial" w:hAnsi="Arial"/>
          <w:sz w:val="22"/>
          <w:szCs w:val="22"/>
        </w:rPr>
        <w:t xml:space="preserve">(C) ≤ 10% RSD</w:t>
      </w:r>
    </w:p>
    <w:p>
      <w:pPr>
        <w:pStyle w:val="ListParagraph"/>
        <w:numPr>
          <w:ilvl w:val="0"/>
          <w:numId w:val="2"/>
        </w:numPr>
        <w:spacing w:after="60" w:before="60"/>
      </w:pPr>
      <w:r>
        <w:rPr>
          <w:rFonts w:ascii="Arial" w:cs="Arial" w:eastAsia="Arial" w:hAnsi="Arial"/>
          <w:sz w:val="22"/>
          <w:szCs w:val="22"/>
        </w:rPr>
        <w:t xml:space="preserve">(D) ≤ 0.5% RSD</w:t>
      </w:r>
    </w:p>
    <w:p>
      <w:pPr>
        <w:spacing w:after="80" w:before="80"/>
        <w:jc w:val="both"/>
      </w:pPr>
      <w:r>
        <w:rPr>
          <w:rFonts w:ascii="Arial" w:cs="Arial" w:eastAsia="Arial" w:hAnsi="Arial"/>
          <w:sz w:val="22"/>
          <w:szCs w:val="22"/>
        </w:rPr>
        <w:t xml:space="preserve">Answer: (B) | ICH Q6A and pharmaceutical regulatory guidance: the blend uniformity RSD should be ≤ 2% (or some guidelines accept ≤ 3% for blend, with final tablet content uniformity ≤ 6% RSD as per USP &lt;905&gt;). The blend uniformity specification of ≤ 2% RSD is the most commonly cited pharmaceutical manufacturing standard for powder blends before tablet compression.</w:t>
      </w:r>
    </w:p>
    <w:p>
      <w:pPr>
        <w:spacing w:after="60" w:before="60"/>
      </w:pPr>
      <w:r>
        <w:t xml:space="preserve"/>
      </w:r>
    </w:p>
    <w:p>
      <w:pPr>
        <w:spacing w:after="80" w:before="80"/>
        <w:jc w:val="both"/>
      </w:pPr>
      <w:r>
        <w:rPr>
          <w:rFonts w:ascii="Arial" w:cs="Arial" w:eastAsia="Arial" w:hAnsi="Arial"/>
          <w:b/>
          <w:bCs/>
          <w:sz w:val="22"/>
          <w:szCs w:val="22"/>
        </w:rPr>
        <w:t xml:space="preserve">Q17. A homogeniser (rotor-stator type) is used in pharmaceutical manufacturing primarily to:</w:t>
      </w:r>
    </w:p>
    <w:p>
      <w:pPr>
        <w:pStyle w:val="ListParagraph"/>
        <w:numPr>
          <w:ilvl w:val="0"/>
          <w:numId w:val="2"/>
        </w:numPr>
        <w:spacing w:after="60" w:before="60"/>
      </w:pPr>
      <w:r>
        <w:rPr>
          <w:rFonts w:ascii="Arial" w:cs="Arial" w:eastAsia="Arial" w:hAnsi="Arial"/>
          <w:sz w:val="22"/>
          <w:szCs w:val="22"/>
        </w:rPr>
        <w:t xml:space="preserve">(A) Gently tumble powder blends to achieve uniform API distribution</w:t>
      </w:r>
    </w:p>
    <w:p>
      <w:pPr>
        <w:pStyle w:val="ListParagraph"/>
        <w:numPr>
          <w:ilvl w:val="0"/>
          <w:numId w:val="2"/>
        </w:numPr>
        <w:spacing w:after="60" w:before="60"/>
      </w:pPr>
      <w:r>
        <w:rPr>
          <w:rFonts w:ascii="Arial" w:cs="Arial" w:eastAsia="Arial" w:hAnsi="Arial"/>
          <w:sz w:val="22"/>
          <w:szCs w:val="22"/>
        </w:rPr>
        <w:t xml:space="preserve">(B) Create intense mechanical shear in the gap between rotor and stator to prepare fine emulsions, dispersions, and to reduce particle/droplet size in cream and ointment bases</w:t>
      </w:r>
    </w:p>
    <w:p>
      <w:pPr>
        <w:pStyle w:val="ListParagraph"/>
        <w:numPr>
          <w:ilvl w:val="0"/>
          <w:numId w:val="2"/>
        </w:numPr>
        <w:spacing w:after="60" w:before="60"/>
      </w:pPr>
      <w:r>
        <w:rPr>
          <w:rFonts w:ascii="Arial" w:cs="Arial" w:eastAsia="Arial" w:hAnsi="Arial"/>
          <w:sz w:val="22"/>
          <w:szCs w:val="22"/>
        </w:rPr>
        <w:t xml:space="preserve">(C) Mix dry granules before tablet compression</w:t>
      </w:r>
    </w:p>
    <w:p>
      <w:pPr>
        <w:pStyle w:val="ListParagraph"/>
        <w:numPr>
          <w:ilvl w:val="0"/>
          <w:numId w:val="2"/>
        </w:numPr>
        <w:spacing w:after="60" w:before="60"/>
      </w:pPr>
      <w:r>
        <w:rPr>
          <w:rFonts w:ascii="Arial" w:cs="Arial" w:eastAsia="Arial" w:hAnsi="Arial"/>
          <w:sz w:val="22"/>
          <w:szCs w:val="22"/>
        </w:rPr>
        <w:t xml:space="preserve">(D) Monitor the endpoint of wet granulation</w:t>
      </w:r>
    </w:p>
    <w:p>
      <w:pPr>
        <w:spacing w:after="80" w:before="80"/>
        <w:jc w:val="both"/>
      </w:pPr>
      <w:r>
        <w:rPr>
          <w:rFonts w:ascii="Arial" w:cs="Arial" w:eastAsia="Arial" w:hAnsi="Arial"/>
          <w:sz w:val="22"/>
          <w:szCs w:val="22"/>
        </w:rPr>
        <w:t xml:space="preserve">Answer: (B) | The rotor-stator homogeniser draws material into the gap (0.1–0.5 mm) between the high-speed rotor (3,000–15,000 rpm) and stationary stator. The intense shear (hydraulic and mechanical) in this gap breaks droplets and particles to very fine sizes — creating fine emulsions (droplet size &lt; 1 µm) and dispersions. Used for ophthalmic emulsions, injectable emulsions, cream bases with finely dispersed drug, and cosmetic preparations.</w:t>
      </w:r>
    </w:p>
    <w:p>
      <w:pPr>
        <w:spacing w:after="60" w:before="60"/>
      </w:pPr>
      <w:r>
        <w:t xml:space="preserve"/>
      </w:r>
    </w:p>
    <w:p>
      <w:pPr>
        <w:spacing w:after="80" w:before="80"/>
        <w:jc w:val="both"/>
      </w:pPr>
      <w:r>
        <w:rPr>
          <w:rFonts w:ascii="Arial" w:cs="Arial" w:eastAsia="Arial" w:hAnsi="Arial"/>
          <w:b/>
          <w:bCs/>
          <w:sz w:val="22"/>
          <w:szCs w:val="22"/>
        </w:rPr>
        <w:t xml:space="preserve">Q18. In pharmaceutical mixing, magnesium stearate (tablet lubricant) is blended:</w:t>
      </w:r>
    </w:p>
    <w:p>
      <w:pPr>
        <w:pStyle w:val="ListParagraph"/>
        <w:numPr>
          <w:ilvl w:val="0"/>
          <w:numId w:val="2"/>
        </w:numPr>
        <w:spacing w:after="60" w:before="60"/>
      </w:pPr>
      <w:r>
        <w:rPr>
          <w:rFonts w:ascii="Arial" w:cs="Arial" w:eastAsia="Arial" w:hAnsi="Arial"/>
          <w:sz w:val="22"/>
          <w:szCs w:val="22"/>
        </w:rPr>
        <w:t xml:space="preserve">(A) At the beginning of the blending process — mixed with API first for uniform distribution</w:t>
      </w:r>
    </w:p>
    <w:p>
      <w:pPr>
        <w:pStyle w:val="ListParagraph"/>
        <w:numPr>
          <w:ilvl w:val="0"/>
          <w:numId w:val="2"/>
        </w:numPr>
        <w:spacing w:after="60" w:before="60"/>
      </w:pPr>
      <w:r>
        <w:rPr>
          <w:rFonts w:ascii="Arial" w:cs="Arial" w:eastAsia="Arial" w:hAnsi="Arial"/>
          <w:sz w:val="22"/>
          <w:szCs w:val="22"/>
        </w:rPr>
        <w:t xml:space="preserve">(B) At the final step for a very short time (1–3 minutes) — over-blending coats particles excessively, reducing tablet hardness and dissolution</w:t>
      </w:r>
    </w:p>
    <w:p>
      <w:pPr>
        <w:pStyle w:val="ListParagraph"/>
        <w:numPr>
          <w:ilvl w:val="0"/>
          <w:numId w:val="2"/>
        </w:numPr>
        <w:spacing w:after="60" w:before="60"/>
      </w:pPr>
      <w:r>
        <w:rPr>
          <w:rFonts w:ascii="Arial" w:cs="Arial" w:eastAsia="Arial" w:hAnsi="Arial"/>
          <w:sz w:val="22"/>
          <w:szCs w:val="22"/>
        </w:rPr>
        <w:t xml:space="preserve">(C) For the longest blending time — requires intensive mixing for effectiveness</w:t>
      </w:r>
    </w:p>
    <w:p>
      <w:pPr>
        <w:pStyle w:val="ListParagraph"/>
        <w:numPr>
          <w:ilvl w:val="0"/>
          <w:numId w:val="2"/>
        </w:numPr>
        <w:spacing w:after="60" w:before="60"/>
      </w:pPr>
      <w:r>
        <w:rPr>
          <w:rFonts w:ascii="Arial" w:cs="Arial" w:eastAsia="Arial" w:hAnsi="Arial"/>
          <w:sz w:val="22"/>
          <w:szCs w:val="22"/>
        </w:rPr>
        <w:t xml:space="preserve">(D) Only by wet blending — dry blending of magnesium stearate is not effective</w:t>
      </w:r>
    </w:p>
    <w:p>
      <w:pPr>
        <w:spacing w:after="80" w:before="80"/>
        <w:jc w:val="both"/>
      </w:pPr>
      <w:r>
        <w:rPr>
          <w:rFonts w:ascii="Arial" w:cs="Arial" w:eastAsia="Arial" w:hAnsi="Arial"/>
          <w:sz w:val="22"/>
          <w:szCs w:val="22"/>
        </w:rPr>
        <w:t xml:space="preserve">Answer: (B) | Magnesium stearate is a hydrophobic lubricant that coats particle surfaces. Over-blending (too long) creates an excessive coating that reduces interparticulate bonding during tablet compression (lower hardness) and retards water ingress and dissolution. Standard practice: add magnesium stearate as the LAST step, blend for 1–3 minutes only. Under-blending risks tablet sticking to the punch face.</w:t>
      </w:r>
    </w:p>
    <w:p>
      <w:pPr>
        <w:spacing w:after="60" w:before="60"/>
      </w:pPr>
      <w:r>
        <w:t xml:space="preserve"/>
      </w:r>
    </w:p>
    <w:p>
      <w:pPr>
        <w:spacing w:after="80" w:before="80"/>
        <w:jc w:val="both"/>
      </w:pPr>
      <w:r>
        <w:rPr>
          <w:rFonts w:ascii="Arial" w:cs="Arial" w:eastAsia="Arial" w:hAnsi="Arial"/>
          <w:b/>
          <w:bCs/>
          <w:sz w:val="22"/>
          <w:szCs w:val="22"/>
        </w:rPr>
        <w:t xml:space="preserve">Q19. Diffusive mixing in solid powders is similar to molecular diffusion in liquids because:</w:t>
      </w:r>
    </w:p>
    <w:p>
      <w:pPr>
        <w:pStyle w:val="ListParagraph"/>
        <w:numPr>
          <w:ilvl w:val="0"/>
          <w:numId w:val="2"/>
        </w:numPr>
        <w:spacing w:after="60" w:before="60"/>
      </w:pPr>
      <w:r>
        <w:rPr>
          <w:rFonts w:ascii="Arial" w:cs="Arial" w:eastAsia="Arial" w:hAnsi="Arial"/>
          <w:sz w:val="22"/>
          <w:szCs w:val="22"/>
        </w:rPr>
        <w:t xml:space="preserve">(A) Both require high temperatures to occur</w:t>
      </w:r>
    </w:p>
    <w:p>
      <w:pPr>
        <w:pStyle w:val="ListParagraph"/>
        <w:numPr>
          <w:ilvl w:val="0"/>
          <w:numId w:val="2"/>
        </w:numPr>
        <w:spacing w:after="60" w:before="60"/>
      </w:pPr>
      <w:r>
        <w:rPr>
          <w:rFonts w:ascii="Arial" w:cs="Arial" w:eastAsia="Arial" w:hAnsi="Arial"/>
          <w:sz w:val="22"/>
          <w:szCs w:val="22"/>
        </w:rPr>
        <w:t xml:space="preserve">(B) Both involve random movement of individual particles/molecules at a surface, gradually establishing a more uniform distribution — both are driven by concentration gradients</w:t>
      </w:r>
    </w:p>
    <w:p>
      <w:pPr>
        <w:pStyle w:val="ListParagraph"/>
        <w:numPr>
          <w:ilvl w:val="0"/>
          <w:numId w:val="2"/>
        </w:numPr>
        <w:spacing w:after="60" w:before="60"/>
      </w:pPr>
      <w:r>
        <w:rPr>
          <w:rFonts w:ascii="Arial" w:cs="Arial" w:eastAsia="Arial" w:hAnsi="Arial"/>
          <w:sz w:val="22"/>
          <w:szCs w:val="22"/>
        </w:rPr>
        <w:t xml:space="preserve">(C) Both are faster than convective processes</w:t>
      </w:r>
    </w:p>
    <w:p>
      <w:pPr>
        <w:pStyle w:val="ListParagraph"/>
        <w:numPr>
          <w:ilvl w:val="0"/>
          <w:numId w:val="2"/>
        </w:numPr>
        <w:spacing w:after="60" w:before="60"/>
      </w:pPr>
      <w:r>
        <w:rPr>
          <w:rFonts w:ascii="Arial" w:cs="Arial" w:eastAsia="Arial" w:hAnsi="Arial"/>
          <w:sz w:val="22"/>
          <w:szCs w:val="22"/>
        </w:rPr>
        <w:t xml:space="preserve">(D) Both only occur in the liquid phase</w:t>
      </w:r>
    </w:p>
    <w:p>
      <w:pPr>
        <w:spacing w:after="80" w:before="80"/>
        <w:jc w:val="both"/>
      </w:pPr>
      <w:r>
        <w:rPr>
          <w:rFonts w:ascii="Arial" w:cs="Arial" w:eastAsia="Arial" w:hAnsi="Arial"/>
          <w:sz w:val="22"/>
          <w:szCs w:val="22"/>
        </w:rPr>
        <w:t xml:space="preserve">Answer: (B) | Diffusive mixing involves random movement of individual particles across a freshly exposed powder surface — analogous to molecular diffusion. Both processes: follow Fick's-type kinetics; are driven by concentration gradients; are slow processes; achieve fine-scale (micro-scale) uniformity. Convective mixing is the equivalent of bulk fluid flow — fast but only achieves macro-scale homogeneity.</w:t>
      </w:r>
    </w:p>
    <w:p>
      <w:pPr>
        <w:spacing w:after="60" w:before="60"/>
      </w:pPr>
      <w:r>
        <w:t xml:space="preserve"/>
      </w:r>
    </w:p>
    <w:p>
      <w:pPr>
        <w:spacing w:after="80" w:before="80"/>
        <w:jc w:val="both"/>
      </w:pPr>
      <w:r>
        <w:rPr>
          <w:rFonts w:ascii="Arial" w:cs="Arial" w:eastAsia="Arial" w:hAnsi="Arial"/>
          <w:b/>
          <w:bCs/>
          <w:sz w:val="22"/>
          <w:szCs w:val="22"/>
        </w:rPr>
        <w:t xml:space="preserve">Q20. Which of the following BEST describes 'convective mixing' in solid pharmaceutical manufacturing?</w:t>
      </w:r>
    </w:p>
    <w:p>
      <w:pPr>
        <w:pStyle w:val="ListParagraph"/>
        <w:numPr>
          <w:ilvl w:val="0"/>
          <w:numId w:val="2"/>
        </w:numPr>
        <w:spacing w:after="60" w:before="60"/>
      </w:pPr>
      <w:r>
        <w:rPr>
          <w:rFonts w:ascii="Arial" w:cs="Arial" w:eastAsia="Arial" w:hAnsi="Arial"/>
          <w:sz w:val="22"/>
          <w:szCs w:val="22"/>
        </w:rPr>
        <w:t xml:space="preserve">(A) Random particle-level movement across surfaces — analogous to molecular diffusion</w:t>
      </w:r>
    </w:p>
    <w:p>
      <w:pPr>
        <w:pStyle w:val="ListParagraph"/>
        <w:numPr>
          <w:ilvl w:val="0"/>
          <w:numId w:val="2"/>
        </w:numPr>
        <w:spacing w:after="60" w:before="60"/>
      </w:pPr>
      <w:r>
        <w:rPr>
          <w:rFonts w:ascii="Arial" w:cs="Arial" w:eastAsia="Arial" w:hAnsi="Arial"/>
          <w:sz w:val="22"/>
          <w:szCs w:val="22"/>
        </w:rPr>
        <w:t xml:space="preserve">(B) Large-scale movement of groups of particles from one region to another — bulk mass transfer</w:t>
      </w:r>
    </w:p>
    <w:p>
      <w:pPr>
        <w:pStyle w:val="ListParagraph"/>
        <w:numPr>
          <w:ilvl w:val="0"/>
          <w:numId w:val="2"/>
        </w:numPr>
        <w:spacing w:after="60" w:before="60"/>
      </w:pPr>
      <w:r>
        <w:rPr>
          <w:rFonts w:ascii="Arial" w:cs="Arial" w:eastAsia="Arial" w:hAnsi="Arial"/>
          <w:sz w:val="22"/>
          <w:szCs w:val="22"/>
        </w:rPr>
        <w:t xml:space="preserve">(C) Formation of slip planes within the powder mass — layers sliding over each other</w:t>
      </w:r>
    </w:p>
    <w:p>
      <w:pPr>
        <w:pStyle w:val="ListParagraph"/>
        <w:numPr>
          <w:ilvl w:val="0"/>
          <w:numId w:val="2"/>
        </w:numPr>
        <w:spacing w:after="60" w:before="60"/>
      </w:pPr>
      <w:r>
        <w:rPr>
          <w:rFonts w:ascii="Arial" w:cs="Arial" w:eastAsia="Arial" w:hAnsi="Arial"/>
          <w:sz w:val="22"/>
          <w:szCs w:val="22"/>
        </w:rPr>
        <w:t xml:space="preserve">(D) Mixing driven by heat convection currents in heated mixing vessels</w:t>
      </w:r>
    </w:p>
    <w:p>
      <w:pPr>
        <w:spacing w:after="80" w:before="80"/>
        <w:jc w:val="both"/>
      </w:pPr>
      <w:r>
        <w:rPr>
          <w:rFonts w:ascii="Arial" w:cs="Arial" w:eastAsia="Arial" w:hAnsi="Arial"/>
          <w:sz w:val="22"/>
          <w:szCs w:val="22"/>
        </w:rPr>
        <w:t xml:space="preserve">Answer: (B) | Convective mixing = bulk mass transfer of groups of particles from one position to another. It is the dominant mechanism in tumbling mixers (double cone, V-blender) and ribbon blenders where entire sections of powder mass are physically relocated. It achieves rapid macro-scale mixing but may not achieve fine-scale (particle-level) uniformity without the additional contribution of diffusive mixing.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4</w:t>
      </w:r>
    </w:p>
    <w:p>
      <w:pPr>
        <w:spacing w:after="80" w:before="80"/>
        <w:jc w:val="both"/>
      </w:pPr>
      <w:r>
        <w:rPr>
          <w:rFonts w:ascii="Arial" w:cs="Arial" w:eastAsia="Arial" w:hAnsi="Arial"/>
          <w:sz w:val="22"/>
          <w:szCs w:val="22"/>
        </w:rPr>
        <w:t xml:space="preserve">Q1. Define mixing. Describe the three mechanisms of solid mixing with examples. Which mechanism is dominant in a V-blender?</w:t>
      </w:r>
    </w:p>
    <w:p>
      <w:pPr>
        <w:spacing w:after="80" w:before="80"/>
        <w:jc w:val="both"/>
      </w:pPr>
      <w:r>
        <w:rPr>
          <w:rFonts w:ascii="Arial" w:cs="Arial" w:eastAsia="Arial" w:hAnsi="Arial"/>
          <w:sz w:val="22"/>
          <w:szCs w:val="22"/>
        </w:rPr>
        <w:t xml:space="preserve">Q2. Explain segregation in powder mixing — define, state causes, and describe how it is prevented in pharmaceutical manufacturing.</w:t>
      </w:r>
    </w:p>
    <w:p>
      <w:pPr>
        <w:spacing w:after="80" w:before="80"/>
        <w:jc w:val="both"/>
      </w:pPr>
      <w:r>
        <w:rPr>
          <w:rFonts w:ascii="Arial" w:cs="Arial" w:eastAsia="Arial" w:hAnsi="Arial"/>
          <w:sz w:val="22"/>
          <w:szCs w:val="22"/>
        </w:rPr>
        <w:t xml:space="preserve">Q3. Compare Double Cone Blender and V-Blender — principle, construction, advantages, disadvantages, and applications.</w:t>
      </w:r>
    </w:p>
    <w:p>
      <w:pPr>
        <w:spacing w:after="80" w:before="80"/>
        <w:jc w:val="both"/>
      </w:pPr>
      <w:r>
        <w:rPr>
          <w:rFonts w:ascii="Arial" w:cs="Arial" w:eastAsia="Arial" w:hAnsi="Arial"/>
          <w:sz w:val="22"/>
          <w:szCs w:val="22"/>
        </w:rPr>
        <w:t xml:space="preserve">Q4. Describe the working principle of a High-Shear Granulator. How is the granulation endpoint detected? Why is HSG preferred over conventional wet granulation?</w:t>
      </w:r>
    </w:p>
    <w:p>
      <w:pPr>
        <w:spacing w:after="80" w:before="80"/>
        <w:jc w:val="both"/>
      </w:pPr>
      <w:r>
        <w:rPr>
          <w:rFonts w:ascii="Arial" w:cs="Arial" w:eastAsia="Arial" w:hAnsi="Arial"/>
          <w:sz w:val="22"/>
          <w:szCs w:val="22"/>
        </w:rPr>
        <w:t xml:space="preserve">Q5. Explain the function of baffles in liquid mixing. Describe three types of impellers with their flow patterns and pharmaceutical applications.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4</w:t>
      </w:r>
    </w:p>
    <w:p>
      <w:pPr>
        <w:spacing w:after="80" w:before="80"/>
        <w:jc w:val="both"/>
      </w:pPr>
      <w:r>
        <w:rPr>
          <w:rFonts w:ascii="Arial" w:cs="Arial" w:eastAsia="Arial" w:hAnsi="Arial"/>
          <w:sz w:val="22"/>
          <w:szCs w:val="22"/>
        </w:rPr>
        <w:t xml:space="preserve">Q1. Write a comprehensive note on solid mixing in pharmaceutical manufacturing. Include: definition and objectives; theory of mixing (mechanisms, ideal mixing, segregation, Lacey index); tumbling mixers (Double Cone Blender, V-Blender — construction, working, advantages, disadvantages, applications); and convective mixers (Ribbon Blender, Sigma Blade Mixer).</w:t>
      </w:r>
    </w:p>
    <w:p>
      <w:pPr>
        <w:spacing w:after="80" w:before="80"/>
        <w:jc w:val="both"/>
      </w:pPr>
      <w:r>
        <w:rPr>
          <w:rFonts w:ascii="Arial" w:cs="Arial" w:eastAsia="Arial" w:hAnsi="Arial"/>
          <w:sz w:val="22"/>
          <w:szCs w:val="22"/>
        </w:rPr>
        <w:t xml:space="preserve">Q2. Describe mixing equipment for liquids and semi-solids in pharmaceutical manufacturing. Include: liquid mixing theory (impeller types, baffles, Reynolds number, Power Number); semi-solid mixing (planetary mixer, homogeniser, colloid mill); and High-Shear Granulator (construction, working, end-point detection, advantages). Provide a complete worked example on the Lacey Mixing Index.</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2026-05-30T16:19:11.082Z</dcterms:created>
  <dcterms:modified xsi:type="dcterms:W3CDTF">2026-05-30T16:19:11.082Z</dcterms:modified>
</cp:coreProperties>
</file>

<file path=docProps/custom.xml><?xml version="1.0" encoding="utf-8"?>
<Properties xmlns="http://schemas.openxmlformats.org/officeDocument/2006/custom-properties" xmlns:vt="http://schemas.openxmlformats.org/officeDocument/2006/docPropsVTypes"/>
</file>