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pPr>
      <w:r>
        <w:rPr>
          <w:rFonts w:ascii="Arial" w:cs="Arial" w:eastAsia="Arial" w:hAnsi="Arial"/>
          <w:b/>
          <w:bCs/>
          <w:color w:val="1F4E79"/>
          <w:sz w:val="28"/>
          <w:szCs w:val="28"/>
        </w:rPr>
        <w:t xml:space="preserve">CHAPTER 11</w:t>
      </w:r>
    </w:p>
    <w:p>
      <w:pPr>
        <w:pStyle w:val="Heading1"/>
        <w:spacing w:after="200" w:before="400"/>
      </w:pPr>
      <w:r>
        <w:rPr>
          <w:rFonts w:ascii="Arial" w:cs="Arial" w:eastAsia="Arial" w:hAnsi="Arial"/>
          <w:b/>
          <w:bCs/>
          <w:color w:val="1F4E79"/>
          <w:sz w:val="32"/>
          <w:szCs w:val="32"/>
        </w:rPr>
        <w:t xml:space="preserve">Heat Transfer — Principles, Equipment, and Pharmaceutical Applications</w:t>
      </w:r>
    </w:p>
    <w:p>
      <w:pPr>
        <w:spacing w:after="60" w:before="60"/>
      </w:pPr>
      <w:r>
        <w:t xml:space="preserve"/>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800"/>
        <w:gridCol w:w="6600"/>
        <w:gridCol w:w="1200"/>
      </w:tblGrid>
      <w:tr>
        <w:tc>
          <w:tcPr>
            <w:tcW w:type="dxa" w:w="800"/>
            <w:tcBorders>
              <w:top w:val="single" w:color="AAAAAA" w:sz="1"/>
              <w:left w:val="single" w:color="AAAAAA" w:sz="1"/>
              <w:bottom w:val="single" w:color="AAAAAA" w:sz="1"/>
              <w:right w:val="single" w:color="AAAAAA" w:sz="1"/>
            </w:tcBorders>
            <w:shd w:fill="1F4E79"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CO No.</w:t>
            </w:r>
          </w:p>
        </w:tc>
        <w:tc>
          <w:tcPr>
            <w:tcW w:type="dxa" w:w="6600"/>
            <w:tcBorders>
              <w:top w:val="single" w:color="AAAAAA" w:sz="1"/>
              <w:left w:val="single" w:color="AAAAAA" w:sz="1"/>
              <w:bottom w:val="single" w:color="AAAAAA" w:sz="1"/>
              <w:right w:val="single" w:color="AAAAAA" w:sz="1"/>
            </w:tcBorders>
            <w:shd w:fill="1F4E79"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Course Outcome</w:t>
            </w:r>
          </w:p>
        </w:tc>
        <w:tc>
          <w:tcPr>
            <w:tcW w:type="dxa" w:w="1200"/>
            <w:tcBorders>
              <w:top w:val="single" w:color="AAAAAA" w:sz="1"/>
              <w:left w:val="single" w:color="AAAAAA" w:sz="1"/>
              <w:bottom w:val="single" w:color="AAAAAA" w:sz="1"/>
              <w:right w:val="single" w:color="AAAAAA" w:sz="1"/>
            </w:tcBorders>
            <w:shd w:fill="1F4E79"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Bloom's Level</w:t>
            </w:r>
          </w:p>
        </w:tc>
      </w:tr>
      <w:tr>
        <w:tc>
          <w:tcPr>
            <w:tcW w:type="dxa" w:w="8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CO3</w:t>
            </w:r>
          </w:p>
        </w:tc>
        <w:tc>
          <w:tcPr>
            <w:tcW w:type="dxa" w:w="66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Compare and evaluate thermal processes including heat transfer based on operational efficiency.</w:t>
            </w:r>
          </w:p>
        </w:tc>
        <w:tc>
          <w:tcPr>
            <w:tcW w:type="dxa" w:w="12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L4</w:t>
            </w:r>
          </w:p>
        </w:tc>
      </w:tr>
      <w:tr>
        <w:tc>
          <w:tcPr>
            <w:tcW w:type="dxa" w:w="8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CO2</w:t>
            </w:r>
          </w:p>
        </w:tc>
        <w:tc>
          <w:tcPr>
            <w:tcW w:type="dxa" w:w="66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Identify and describe construction, working, and utility of heat transfer equipment.</w:t>
            </w:r>
          </w:p>
        </w:tc>
        <w:tc>
          <w:tcPr>
            <w:tcW w:type="dxa" w:w="12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L2, L3</w:t>
            </w:r>
          </w:p>
        </w:tc>
      </w:tr>
    </w:tbl>
    <w:p>
      <w:pPr>
        <w:spacing w:after="60" w:before="60"/>
      </w:pPr>
      <w:r>
        <w:t xml:space="preserve"/>
      </w:r>
    </w:p>
    <w:p>
      <w:pPr>
        <w:pStyle w:val="Heading2"/>
        <w:spacing w:after="150" w:before="300"/>
      </w:pPr>
      <w:r>
        <w:rPr>
          <w:rFonts w:ascii="Arial" w:cs="Arial" w:eastAsia="Arial" w:hAnsi="Arial"/>
          <w:b/>
          <w:bCs/>
          <w:color w:val="1F4E79"/>
          <w:sz w:val="26"/>
          <w:szCs w:val="26"/>
        </w:rPr>
        <w:t xml:space="preserve">11.1 Learning Objectives</w:t>
      </w:r>
    </w:p>
    <w:p>
      <w:pPr>
        <w:spacing w:after="80" w:before="80"/>
        <w:jc w:val="both"/>
      </w:pPr>
      <w:r>
        <w:rPr>
          <w:rFonts w:ascii="Arial" w:cs="Arial" w:eastAsia="Arial" w:hAnsi="Arial"/>
          <w:sz w:val="22"/>
          <w:szCs w:val="22"/>
        </w:rPr>
        <w:t xml:space="preserve">After completing this chapter, the student will be able to:</w:t>
      </w:r>
    </w:p>
    <w:p>
      <w:pPr>
        <w:pStyle w:val="ListParagraph"/>
        <w:numPr>
          <w:ilvl w:val="0"/>
          <w:numId w:val="2"/>
        </w:numPr>
        <w:spacing w:after="60" w:before="60"/>
      </w:pPr>
      <w:r>
        <w:rPr>
          <w:rFonts w:ascii="Arial" w:cs="Arial" w:eastAsia="Arial" w:hAnsi="Arial"/>
          <w:sz w:val="22"/>
          <w:szCs w:val="22"/>
        </w:rPr>
        <w:t xml:space="preserve">State and apply the three laws of heat transfer — Fourier's Law (conduction), Newton's Law of Cooling (convection), and Stefan-Boltzmann Law (radiation)</w:t>
      </w:r>
    </w:p>
    <w:p>
      <w:pPr>
        <w:pStyle w:val="ListParagraph"/>
        <w:numPr>
          <w:ilvl w:val="0"/>
          <w:numId w:val="2"/>
        </w:numPr>
        <w:spacing w:after="60" w:before="60"/>
      </w:pPr>
      <w:r>
        <w:rPr>
          <w:rFonts w:ascii="Arial" w:cs="Arial" w:eastAsia="Arial" w:hAnsi="Arial"/>
          <w:sz w:val="22"/>
          <w:szCs w:val="22"/>
        </w:rPr>
        <w:t xml:space="preserve">Explain overall heat transfer coefficient (U) and calculate heat transfer area required for a heat exchanger</w:t>
      </w:r>
    </w:p>
    <w:p>
      <w:pPr>
        <w:pStyle w:val="ListParagraph"/>
        <w:numPr>
          <w:ilvl w:val="0"/>
          <w:numId w:val="2"/>
        </w:numPr>
        <w:spacing w:after="60" w:before="60"/>
      </w:pPr>
      <w:r>
        <w:rPr>
          <w:rFonts w:ascii="Arial" w:cs="Arial" w:eastAsia="Arial" w:hAnsi="Arial"/>
          <w:sz w:val="22"/>
          <w:szCs w:val="22"/>
        </w:rPr>
        <w:t xml:space="preserve">Describe the construction, working, advantages, disadvantages, and pharmaceutical applications of shell-and-tube heat exchangers, plate heat exchangers (PHE), and jacketed vessels</w:t>
      </w:r>
    </w:p>
    <w:p>
      <w:pPr>
        <w:pStyle w:val="ListParagraph"/>
        <w:numPr>
          <w:ilvl w:val="0"/>
          <w:numId w:val="2"/>
        </w:numPr>
        <w:spacing w:after="60" w:before="60"/>
      </w:pPr>
      <w:r>
        <w:rPr>
          <w:rFonts w:ascii="Arial" w:cs="Arial" w:eastAsia="Arial" w:hAnsi="Arial"/>
          <w:sz w:val="22"/>
          <w:szCs w:val="22"/>
        </w:rPr>
        <w:t xml:space="preserve">Explain LMTD (Log Mean Temperature Difference) and apply it to heat exchanger design</w:t>
      </w:r>
    </w:p>
    <w:p>
      <w:pPr>
        <w:pStyle w:val="ListParagraph"/>
        <w:numPr>
          <w:ilvl w:val="0"/>
          <w:numId w:val="2"/>
        </w:numPr>
        <w:spacing w:after="60" w:before="60"/>
      </w:pPr>
      <w:r>
        <w:rPr>
          <w:rFonts w:ascii="Arial" w:cs="Arial" w:eastAsia="Arial" w:hAnsi="Arial"/>
          <w:sz w:val="22"/>
          <w:szCs w:val="22"/>
        </w:rPr>
        <w:t xml:space="preserve">Describe fouling and its effect on heat transfer; explain methods to prevent and control fouling</w:t>
      </w:r>
    </w:p>
    <w:p>
      <w:pPr>
        <w:spacing w:after="60" w:before="60"/>
      </w:pPr>
      <w:r>
        <w:t xml:space="preserve"/>
      </w:r>
    </w:p>
    <w:p>
      <w:pPr>
        <w:pStyle w:val="Heading2"/>
        <w:spacing w:after="150" w:before="300"/>
      </w:pPr>
      <w:r>
        <w:rPr>
          <w:rFonts w:ascii="Arial" w:cs="Arial" w:eastAsia="Arial" w:hAnsi="Arial"/>
          <w:b/>
          <w:bCs/>
          <w:color w:val="1F4E79"/>
          <w:sz w:val="26"/>
          <w:szCs w:val="26"/>
        </w:rPr>
        <w:t xml:space="preserve">11.2 Modes of Heat Transfer</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2000"/>
        <w:gridCol w:w="2000"/>
        <w:gridCol w:w="2700"/>
      </w:tblGrid>
      <w:tr>
        <w:tc>
          <w:tcPr>
            <w:tcW w:type="dxa" w:w="1200"/>
            <w:tcBorders>
              <w:top w:val="single" w:color="AAAAAA" w:sz="1"/>
              <w:left w:val="single" w:color="AAAAAA" w:sz="1"/>
              <w:bottom w:val="single" w:color="AAAAAA" w:sz="1"/>
              <w:right w:val="single" w:color="AAAAAA" w:sz="1"/>
            </w:tcBorders>
            <w:shd w:fill="1F4E79"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Mode</w:t>
            </w:r>
          </w:p>
        </w:tc>
        <w:tc>
          <w:tcPr>
            <w:tcW w:type="dxa" w:w="1800"/>
            <w:tcBorders>
              <w:top w:val="single" w:color="AAAAAA" w:sz="1"/>
              <w:left w:val="single" w:color="AAAAAA" w:sz="1"/>
              <w:bottom w:val="single" w:color="AAAAAA" w:sz="1"/>
              <w:right w:val="single" w:color="AAAAAA" w:sz="1"/>
            </w:tcBorders>
            <w:shd w:fill="1F4E79"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Law</w:t>
            </w:r>
          </w:p>
        </w:tc>
        <w:tc>
          <w:tcPr>
            <w:tcW w:type="dxa" w:w="2000"/>
            <w:tcBorders>
              <w:top w:val="single" w:color="AAAAAA" w:sz="1"/>
              <w:left w:val="single" w:color="AAAAAA" w:sz="1"/>
              <w:bottom w:val="single" w:color="AAAAAA" w:sz="1"/>
              <w:right w:val="single" w:color="AAAAAA" w:sz="1"/>
            </w:tcBorders>
            <w:shd w:fill="1F4E79"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Equation</w:t>
            </w:r>
          </w:p>
        </w:tc>
        <w:tc>
          <w:tcPr>
            <w:tcW w:type="dxa" w:w="2000"/>
            <w:tcBorders>
              <w:top w:val="single" w:color="AAAAAA" w:sz="1"/>
              <w:left w:val="single" w:color="AAAAAA" w:sz="1"/>
              <w:bottom w:val="single" w:color="AAAAAA" w:sz="1"/>
              <w:right w:val="single" w:color="AAAAAA" w:sz="1"/>
            </w:tcBorders>
            <w:shd w:fill="1F4E79"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Description</w:t>
            </w:r>
          </w:p>
        </w:tc>
        <w:tc>
          <w:tcPr>
            <w:tcW w:type="dxa" w:w="2700"/>
            <w:tcBorders>
              <w:top w:val="single" w:color="AAAAAA" w:sz="1"/>
              <w:left w:val="single" w:color="AAAAAA" w:sz="1"/>
              <w:bottom w:val="single" w:color="AAAAAA" w:sz="1"/>
              <w:right w:val="single" w:color="AAAAAA" w:sz="1"/>
            </w:tcBorders>
            <w:shd w:fill="1F4E79"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Pharmaceutical Example</w:t>
            </w:r>
          </w:p>
        </w:tc>
      </w:tr>
      <w:tr>
        <w:tc>
          <w:tcPr>
            <w:tcW w:type="dxa" w:w="12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Conduction</w:t>
            </w:r>
          </w:p>
        </w:tc>
        <w:tc>
          <w:tcPr>
            <w:tcW w:type="dxa" w:w="18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Fourier's Law</w:t>
            </w:r>
          </w:p>
        </w:tc>
        <w:tc>
          <w:tcPr>
            <w:tcW w:type="dxa" w:w="20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q = −k × A × (dT/dx)</w:t>
            </w:r>
          </w:p>
        </w:tc>
        <w:tc>
          <w:tcPr>
            <w:tcW w:type="dxa" w:w="20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Heat transfer through a solid by molecular vibration; no bulk material movement; k = thermal conductivity</w:t>
            </w:r>
          </w:p>
        </w:tc>
        <w:tc>
          <w:tcPr>
            <w:tcW w:type="dxa" w:w="27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Heat transfer through SS 316L vessel wall to liquid product; heat conduction through tablet during compression</w:t>
            </w:r>
          </w:p>
        </w:tc>
      </w:tr>
      <w:tr>
        <w:tc>
          <w:tcPr>
            <w:tcW w:type="dxa" w:w="12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Convection</w:t>
            </w:r>
          </w:p>
        </w:tc>
        <w:tc>
          <w:tcPr>
            <w:tcW w:type="dxa" w:w="18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Newton's Law of Cooling</w:t>
            </w:r>
          </w:p>
        </w:tc>
        <w:tc>
          <w:tcPr>
            <w:tcW w:type="dxa" w:w="20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q = h × A × (T_s − T_f)</w:t>
            </w:r>
          </w:p>
        </w:tc>
        <w:tc>
          <w:tcPr>
            <w:tcW w:type="dxa" w:w="20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Heat transfer between a solid surface and a moving fluid; h = convective heat transfer coefficient; enhanced by turbulence</w:t>
            </w:r>
          </w:p>
        </w:tc>
        <w:tc>
          <w:tcPr>
            <w:tcW w:type="dxa" w:w="27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Heat transfer from steam coil to liquid in mixing vessel; heat transfer from heated air to granule surface in FBD</w:t>
            </w:r>
          </w:p>
        </w:tc>
      </w:tr>
      <w:tr>
        <w:tc>
          <w:tcPr>
            <w:tcW w:type="dxa" w:w="12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Radiation</w:t>
            </w:r>
          </w:p>
        </w:tc>
        <w:tc>
          <w:tcPr>
            <w:tcW w:type="dxa" w:w="18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Stefan-Boltzmann Law</w:t>
            </w:r>
          </w:p>
        </w:tc>
        <w:tc>
          <w:tcPr>
            <w:tcW w:type="dxa" w:w="20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q = ε × σ × A × (T₁⁴ − T₂⁴)</w:t>
            </w:r>
          </w:p>
        </w:tc>
        <w:tc>
          <w:tcPr>
            <w:tcW w:type="dxa" w:w="20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Heat transfer by electromagnetic waves (infrared); no medium required; ε = emissivity; σ = 5.67 × 10⁻⁸ W/m²K⁴</w:t>
            </w:r>
          </w:p>
        </w:tc>
        <w:tc>
          <w:tcPr>
            <w:tcW w:type="dxa" w:w="27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Significant only at very high temperatures; dry heat sterilisation ovens (&gt; 160°C); infrared drying lamps</w:t>
            </w:r>
          </w:p>
        </w:tc>
      </w:tr>
    </w:tbl>
    <w:p>
      <w:pPr>
        <w:spacing w:after="60" w:before="60"/>
      </w:pPr>
      <w:r>
        <w:t xml:space="preserve"/>
      </w:r>
    </w:p>
    <w:p>
      <w:pPr>
        <w:pStyle w:val="Heading2"/>
        <w:spacing w:after="150" w:before="300"/>
      </w:pPr>
      <w:r>
        <w:rPr>
          <w:rFonts w:ascii="Arial" w:cs="Arial" w:eastAsia="Arial" w:hAnsi="Arial"/>
          <w:b/>
          <w:bCs/>
          <w:color w:val="1F4E79"/>
          <w:sz w:val="26"/>
          <w:szCs w:val="26"/>
        </w:rPr>
        <w:t xml:space="preserve">11.3 Overall Heat Transfer Coefficient and LMTD</w:t>
      </w:r>
    </w:p>
    <w:p>
      <w:pPr>
        <w:pStyle w:val="Heading3"/>
        <w:spacing w:after="100" w:before="200"/>
      </w:pPr>
      <w:r>
        <w:rPr>
          <w:rFonts w:ascii="Arial" w:cs="Arial" w:eastAsia="Arial" w:hAnsi="Arial"/>
          <w:b/>
          <w:bCs/>
          <w:color w:val="2E75B6"/>
          <w:sz w:val="24"/>
          <w:szCs w:val="24"/>
        </w:rPr>
        <w:t xml:space="preserve">11.3.1 Overall Heat Transfer Coefficient (U)</w:t>
      </w:r>
    </w:p>
    <w:p>
      <w:pPr>
        <w:spacing w:after="80" w:before="80"/>
        <w:jc w:val="both"/>
      </w:pPr>
      <w:r>
        <w:rPr>
          <w:rFonts w:ascii="Arial" w:cs="Arial" w:eastAsia="Arial" w:hAnsi="Arial"/>
          <w:sz w:val="22"/>
          <w:szCs w:val="22"/>
        </w:rPr>
        <w:t xml:space="preserve">In a heat exchanger, heat must be transferred through multiple resistances in series: hot fluid film → wall → cold fluid film (plus any fouling layers). The overall heat transfer coefficient U combines all these resistances:</w:t>
      </w:r>
    </w:p>
    <w:p>
      <w:pPr>
        <w:shd w:fill="EBF3FB" w:val="clear"/>
        <w:spacing w:after="140" w:before="140"/>
        <w:jc w:val="center"/>
      </w:pPr>
      <w:r>
        <w:rPr>
          <w:rFonts w:ascii="Courier New" w:cs="Courier New" w:eastAsia="Courier New" w:hAnsi="Courier New"/>
          <w:b/>
          <w:bCs/>
          <w:color w:val="1F4E79"/>
          <w:sz w:val="24"/>
          <w:szCs w:val="24"/>
        </w:rPr>
        <w:t xml:space="preserve">1/U = 1/h_i + R_fi + Δx/k + R_fo + 1/h_o</w:t>
      </w:r>
    </w:p>
    <w:p>
      <w:pPr>
        <w:spacing w:after="80" w:before="80"/>
        <w:jc w:val="both"/>
      </w:pPr>
      <w:r>
        <w:rPr>
          <w:rFonts w:ascii="Arial" w:cs="Arial" w:eastAsia="Arial" w:hAnsi="Arial"/>
          <w:sz w:val="22"/>
          <w:szCs w:val="22"/>
        </w:rPr>
        <w:t xml:space="preserve">Where: h_i = inside (hot fluid) convective coefficient (W/m²K); h_o = outside (cold fluid) convective coefficient (W/m²K); R_fi, R_fo = fouling resistances (m²K/W); Δx/k = wall conduction resistance; Δx = wall thickness (m); k = wall thermal conductivity (W/mK). For a clean SS 316L heat exchanger: U typically 800–2500 W/m²K (liquid-liquid). Fouling can reduce U to 30–50% of clean value.</w:t>
      </w:r>
    </w:p>
    <w:p>
      <w:pPr>
        <w:spacing w:after="60" w:before="60"/>
      </w:pPr>
      <w:r>
        <w:t xml:space="preserve"/>
      </w:r>
    </w:p>
    <w:p>
      <w:pPr>
        <w:pStyle w:val="Heading3"/>
        <w:spacing w:after="100" w:before="200"/>
      </w:pPr>
      <w:r>
        <w:rPr>
          <w:rFonts w:ascii="Arial" w:cs="Arial" w:eastAsia="Arial" w:hAnsi="Arial"/>
          <w:b/>
          <w:bCs/>
          <w:color w:val="2E75B6"/>
          <w:sz w:val="24"/>
          <w:szCs w:val="24"/>
        </w:rPr>
        <w:t xml:space="preserve">11.3.2 Log Mean Temperature Difference (LMTD)</w:t>
      </w:r>
    </w:p>
    <w:p>
      <w:pPr>
        <w:spacing w:after="80" w:before="80"/>
        <w:jc w:val="both"/>
      </w:pPr>
      <w:r>
        <w:rPr>
          <w:rFonts w:ascii="Arial" w:cs="Arial" w:eastAsia="Arial" w:hAnsi="Arial"/>
          <w:sz w:val="22"/>
          <w:szCs w:val="22"/>
        </w:rPr>
        <w:t xml:space="preserve">The LMTD accounts for the varying temperature difference between hot and cold fluids along the length of a heat exchanger. It is the correct mean temperature driving force for heat transfer calculations:</w:t>
      </w:r>
    </w:p>
    <w:p>
      <w:pPr>
        <w:shd w:fill="EBF3FB" w:val="clear"/>
        <w:spacing w:after="140" w:before="140"/>
        <w:jc w:val="center"/>
      </w:pPr>
      <w:r>
        <w:rPr>
          <w:rFonts w:ascii="Courier New" w:cs="Courier New" w:eastAsia="Courier New" w:hAnsi="Courier New"/>
          <w:b/>
          <w:bCs/>
          <w:color w:val="1F4E79"/>
          <w:sz w:val="24"/>
          <w:szCs w:val="24"/>
        </w:rPr>
        <w:t xml:space="preserve">LMTD = (ΔT₁ − ΔT₂) / ln(ΔT₁/ΔT₂)</w:t>
      </w:r>
    </w:p>
    <w:p>
      <w:pPr>
        <w:spacing w:after="80" w:before="80"/>
        <w:jc w:val="both"/>
      </w:pPr>
      <w:r>
        <w:rPr>
          <w:rFonts w:ascii="Arial" w:cs="Arial" w:eastAsia="Arial" w:hAnsi="Arial"/>
          <w:sz w:val="22"/>
          <w:szCs w:val="22"/>
        </w:rPr>
        <w:t xml:space="preserve">Where: ΔT₁ = temperature difference at one end of exchanger; ΔT₂ = temperature difference at other end. For counter-current flow: ΔT₁ = T_hot,in − T_cold,out; ΔT₂ = T_hot,out − T_cold,in.</w:t>
      </w:r>
    </w:p>
    <w:p>
      <w:pPr>
        <w:shd w:fill="EBF3FB" w:val="clear"/>
        <w:spacing w:after="140" w:before="140"/>
        <w:jc w:val="center"/>
      </w:pPr>
      <w:r>
        <w:rPr>
          <w:rFonts w:ascii="Courier New" w:cs="Courier New" w:eastAsia="Courier New" w:hAnsi="Courier New"/>
          <w:b/>
          <w:bCs/>
          <w:color w:val="1F4E79"/>
          <w:sz w:val="24"/>
          <w:szCs w:val="24"/>
        </w:rPr>
        <w:t xml:space="preserve">Heat transfer equation:  Q = U × A × LMTD × F_t</w:t>
      </w:r>
    </w:p>
    <w:p>
      <w:pPr>
        <w:spacing w:after="80" w:before="80"/>
        <w:jc w:val="both"/>
      </w:pPr>
      <w:r>
        <w:rPr>
          <w:rFonts w:ascii="Arial" w:cs="Arial" w:eastAsia="Arial" w:hAnsi="Arial"/>
          <w:sz w:val="22"/>
          <w:szCs w:val="22"/>
        </w:rPr>
        <w:t xml:space="preserve">Where F_t = correction factor for non-ideal flow patterns (= 1.0 for pure counter-current; &lt; 1.0 for multi-pass arrangements). Given Q (heat duty), U, and LMTD, the required heat transfer area A can be calculated for equipment sizing.</w:t>
      </w:r>
    </w:p>
    <w:p>
      <w:pPr>
        <w:spacing w:after="60" w:before="60"/>
      </w:pPr>
      <w:r>
        <w:t xml:space="preserve"/>
      </w:r>
    </w:p>
    <w:p>
      <w:pPr>
        <w:pStyle w:val="Heading3"/>
        <w:spacing w:after="100" w:before="200"/>
      </w:pPr>
      <w:r>
        <w:rPr>
          <w:rFonts w:ascii="Arial" w:cs="Arial" w:eastAsia="Arial" w:hAnsi="Arial"/>
          <w:b/>
          <w:bCs/>
          <w:color w:val="2E75B6"/>
          <w:sz w:val="24"/>
          <w:szCs w:val="24"/>
        </w:rPr>
        <w:t xml:space="preserve">11.3.3 Counter-Current vs Co-Current Flow</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1800"/>
        <w:gridCol w:w="3500"/>
        <w:gridCol w:w="3500"/>
      </w:tblGrid>
      <w:tr>
        <w:tc>
          <w:tcPr>
            <w:tcW w:type="dxa" w:w="1800"/>
            <w:tcBorders>
              <w:top w:val="single" w:color="AAAAAA" w:sz="1"/>
              <w:left w:val="single" w:color="AAAAAA" w:sz="1"/>
              <w:bottom w:val="single" w:color="AAAAAA" w:sz="1"/>
              <w:right w:val="single" w:color="AAAAAA" w:sz="1"/>
            </w:tcBorders>
            <w:shd w:fill="1F4E79"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Feature</w:t>
            </w:r>
          </w:p>
        </w:tc>
        <w:tc>
          <w:tcPr>
            <w:tcW w:type="dxa" w:w="3500"/>
            <w:tcBorders>
              <w:top w:val="single" w:color="AAAAAA" w:sz="1"/>
              <w:left w:val="single" w:color="AAAAAA" w:sz="1"/>
              <w:bottom w:val="single" w:color="AAAAAA" w:sz="1"/>
              <w:right w:val="single" w:color="AAAAAA" w:sz="1"/>
            </w:tcBorders>
            <w:shd w:fill="1F4E79"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Counter-Current Flow</w:t>
            </w:r>
          </w:p>
        </w:tc>
        <w:tc>
          <w:tcPr>
            <w:tcW w:type="dxa" w:w="3500"/>
            <w:tcBorders>
              <w:top w:val="single" w:color="AAAAAA" w:sz="1"/>
              <w:left w:val="single" w:color="AAAAAA" w:sz="1"/>
              <w:bottom w:val="single" w:color="AAAAAA" w:sz="1"/>
              <w:right w:val="single" w:color="AAAAAA" w:sz="1"/>
            </w:tcBorders>
            <w:shd w:fill="1F4E79"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Co-Current (Parallel) Flow</w:t>
            </w:r>
          </w:p>
        </w:tc>
      </w:tr>
      <w:tr>
        <w:tc>
          <w:tcPr>
            <w:tcW w:type="dxa" w:w="18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Definition</w:t>
            </w:r>
          </w:p>
        </w:tc>
        <w:tc>
          <w:tcPr>
            <w:tcW w:type="dxa" w:w="35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Hot and cold fluids flow in OPPOSITE directions through exchanger</w:t>
            </w:r>
          </w:p>
        </w:tc>
        <w:tc>
          <w:tcPr>
            <w:tcW w:type="dxa" w:w="35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Hot and cold fluids flow in the SAME direction</w:t>
            </w:r>
          </w:p>
        </w:tc>
      </w:tr>
      <w:tr>
        <w:tc>
          <w:tcPr>
            <w:tcW w:type="dxa" w:w="18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LMTD</w:t>
            </w:r>
          </w:p>
        </w:tc>
        <w:tc>
          <w:tcPr>
            <w:tcW w:type="dxa" w:w="35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Higher LMTD — more efficient heat transfer for same inlet/outlet temperatures</w:t>
            </w:r>
          </w:p>
        </w:tc>
        <w:tc>
          <w:tcPr>
            <w:tcW w:type="dxa" w:w="35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Lower LMTD — less efficient</w:t>
            </w:r>
          </w:p>
        </w:tc>
      </w:tr>
      <w:tr>
        <w:tc>
          <w:tcPr>
            <w:tcW w:type="dxa" w:w="18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Maximum cold fluid outlet temp</w:t>
            </w:r>
          </w:p>
        </w:tc>
        <w:tc>
          <w:tcPr>
            <w:tcW w:type="dxa" w:w="35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Can approach hot fluid inlet temperature (theoretically — unlimited approach)</w:t>
            </w:r>
          </w:p>
        </w:tc>
        <w:tc>
          <w:tcPr>
            <w:tcW w:type="dxa" w:w="35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Limited to hot fluid outlet temperature (temperature cross impossible)</w:t>
            </w:r>
          </w:p>
        </w:tc>
      </w:tr>
      <w:tr>
        <w:tc>
          <w:tcPr>
            <w:tcW w:type="dxa" w:w="18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Pharmaceutical preference</w:t>
            </w:r>
          </w:p>
        </w:tc>
        <w:tc>
          <w:tcPr>
            <w:tcW w:type="dxa" w:w="35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Standard for pharmaceutical heat exchangers — maximum efficiency and minimum area required</w:t>
            </w:r>
          </w:p>
        </w:tc>
        <w:tc>
          <w:tcPr>
            <w:tcW w:type="dxa" w:w="35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Used only for specific applications where temperature gradient must be controlled (e.g., preventing thermal shock)</w:t>
            </w:r>
          </w:p>
        </w:tc>
      </w:tr>
    </w:tbl>
    <w:p>
      <w:pPr>
        <w:spacing w:after="60" w:before="60"/>
      </w:pPr>
      <w:r>
        <w:t xml:space="preserve"/>
      </w:r>
    </w:p>
    <w:p>
      <w:pPr>
        <w:pStyle w:val="Heading2"/>
        <w:spacing w:after="150" w:before="300"/>
      </w:pPr>
      <w:r>
        <w:rPr>
          <w:rFonts w:ascii="Arial" w:cs="Arial" w:eastAsia="Arial" w:hAnsi="Arial"/>
          <w:b/>
          <w:bCs/>
          <w:color w:val="1F4E79"/>
          <w:sz w:val="26"/>
          <w:szCs w:val="26"/>
        </w:rPr>
        <w:t xml:space="preserve">11.4 Shell-and-Tube Heat Exchanger</w:t>
      </w:r>
    </w:p>
    <w:tbl>
      <w:tblPr>
        <w:tblW w:type="dxa" w:w="9400"/>
        <w:tblBorders>
          <w:top w:val="single" w:color="1F4E79" w:sz="3"/>
          <w:left w:val="single" w:color="1F4E79" w:sz="3"/>
          <w:bottom w:val="single" w:color="1F4E79" w:sz="3"/>
          <w:right w:val="single" w:color="1F4E79" w:sz="3"/>
          <w:insideH w:val="single" w:color="auto" w:sz="4"/>
          <w:insideV w:val="single" w:color="auto" w:sz="4"/>
        </w:tblBorders>
      </w:tblPr>
      <w:tblGrid>
        <w:gridCol w:w="1500"/>
        <w:gridCol w:w="7900"/>
      </w:tblGrid>
      <w:tr>
        <w:tc>
          <w:tcPr>
            <w:tcW w:type="dxa" w:w="1500"/>
            <w:tcBorders>
              <w:top w:val="none"/>
              <w:left w:val="none"/>
              <w:bottom w:val="none"/>
              <w:right w:val="single" w:color="CCDDEE" w:sz="1"/>
            </w:tcBorders>
            <w:shd w:fill="1F4E79" w:val="clear"/>
            <w:tcMar>
              <w:top w:type="dxa" w:w="100"/>
              <w:left w:type="dxa" w:w="80"/>
              <w:bottom w:type="dxa" w:w="100"/>
              <w:right w:type="dxa" w:w="80"/>
            </w:tcMar>
          </w:tcPr>
          <w:p>
            <w:pPr>
              <w:spacing w:after="20" w:before="20"/>
              <w:jc w:val="center"/>
            </w:pPr>
            <w:r>
              <w:rPr>
                <w:rFonts w:ascii="Arial" w:cs="Arial" w:eastAsia="Arial" w:hAnsi="Arial"/>
                <w:b/>
                <w:bCs/>
                <w:color w:val="FFFFFF"/>
                <w:sz w:val="28"/>
                <w:szCs w:val="28"/>
              </w:rPr>
              <w:t xml:space="preserve">[ QR ]</w:t>
            </w:r>
          </w:p>
          <w:p>
            <w:pPr>
              <w:spacing w:after="20" w:before="0"/>
              <w:jc w:val="center"/>
            </w:pPr>
            <w:r>
              <w:rPr>
                <w:rFonts w:ascii="Arial" w:cs="Arial" w:eastAsia="Arial" w:hAnsi="Arial"/>
                <w:color w:val="7DD3FC"/>
                <w:sz w:val="16"/>
                <w:szCs w:val="16"/>
              </w:rPr>
              <w:t xml:space="preserve">SCAN</w:t>
            </w:r>
          </w:p>
          <w:p>
            <w:pPr>
              <w:spacing w:after="0" w:before="0"/>
              <w:jc w:val="center"/>
            </w:pPr>
            <w:r>
              <w:rPr>
                <w:rFonts w:ascii="Arial" w:cs="Arial" w:eastAsia="Arial" w:hAnsi="Arial"/>
                <w:color w:val="7DD3FC"/>
                <w:sz w:val="16"/>
                <w:szCs w:val="16"/>
              </w:rPr>
              <w:t xml:space="preserve">TO VIEW</w:t>
            </w:r>
          </w:p>
        </w:tc>
        <w:tc>
          <w:tcPr>
            <w:tcW w:type="dxa" w:w="7900"/>
            <w:tcBorders>
              <w:top w:val="none"/>
              <w:left w:val="none"/>
              <w:bottom w:val="none"/>
              <w:right w:val="none"/>
            </w:tcBorders>
            <w:shd w:fill="EBF3FB" w:val="clear"/>
            <w:tcMar>
              <w:top w:type="dxa" w:w="80"/>
              <w:left w:type="dxa" w:w="140"/>
              <w:bottom w:type="dxa" w:w="80"/>
              <w:right w:type="dxa" w:w="120"/>
            </w:tcMar>
          </w:tcPr>
          <w:p>
            <w:pPr>
              <w:spacing w:after="20" w:before="40"/>
            </w:pPr>
            <w:r>
              <w:rPr>
                <w:rFonts w:ascii="Arial" w:cs="Arial" w:eastAsia="Arial" w:hAnsi="Arial"/>
                <w:b/>
                <w:bCs/>
                <w:color w:val="1F4E79"/>
                <w:sz w:val="22"/>
                <w:szCs w:val="22"/>
              </w:rPr>
              <w:t xml:space="preserve">📱  Shell-and-Tube Heat Exchanger</w:t>
            </w:r>
          </w:p>
          <w:p>
            <w:pPr>
              <w:spacing w:after="20" w:before="0"/>
            </w:pPr>
            <w:r>
              <w:rPr>
                <w:rFonts w:ascii="Arial" w:cs="Arial" w:eastAsia="Arial" w:hAnsi="Arial"/>
                <w:color w:val="2E75B6"/>
                <w:sz w:val="18"/>
                <w:szCs w:val="18"/>
              </w:rPr>
              <w:t xml:space="preserve">Interactive Animation  +  5-Min Concept Lesson  +  Practice MCQs</w:t>
            </w:r>
          </w:p>
          <w:p>
            <w:pPr>
              <w:spacing w:after="40" w:before="0"/>
            </w:pPr>
            <w:r>
              <w:rPr>
                <w:rFonts w:ascii="Arial" w:cs="Arial" w:eastAsia="Arial" w:hAnsi="Arial"/>
                <w:i/>
                <w:iCs/>
                <w:color w:val="595959"/>
                <w:sz w:val="18"/>
                <w:szCs w:val="18"/>
              </w:rPr>
              <w:t xml:space="preserve">Tube bundle animation, baffles directing shell-side flow, counter-current heat exchange, pharmaceutical API solution heating and cooling</w:t>
            </w:r>
          </w:p>
          <w:p>
            <w:pPr>
              <w:spacing w:after="20" w:before="0"/>
            </w:pPr>
            <w:r>
              <w:rPr>
                <w:rFonts w:ascii="Arial" w:cs="Arial" w:eastAsia="Arial" w:hAnsi="Arial"/>
                <w:color w:val="888888"/>
                <w:sz w:val="16"/>
                <w:szCs w:val="16"/>
              </w:rPr>
              <w:t xml:space="preserve">[ QR code will be inserted here after GitHub setup ]</w:t>
            </w:r>
          </w:p>
        </w:tc>
      </w:tr>
    </w:tbl>
    <w:p>
      <w:pPr>
        <w:spacing w:after="60" w:before="60"/>
      </w:pPr>
      <w:r>
        <w:t xml:space="preserve"/>
      </w:r>
    </w:p>
    <w:p>
      <w:pPr>
        <w:pStyle w:val="Heading3"/>
        <w:spacing w:after="100" w:before="200"/>
      </w:pPr>
      <w:r>
        <w:rPr>
          <w:rFonts w:ascii="Arial" w:cs="Arial" w:eastAsia="Arial" w:hAnsi="Arial"/>
          <w:b/>
          <w:bCs/>
          <w:color w:val="2E75B6"/>
          <w:sz w:val="24"/>
          <w:szCs w:val="24"/>
        </w:rPr>
        <w:t xml:space="preserve">11.4.1 Construction</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1800"/>
        <w:gridCol w:w="3800"/>
        <w:gridCol w:w="2800"/>
      </w:tblGrid>
      <w:tr>
        <w:tc>
          <w:tcPr>
            <w:tcW w:type="dxa" w:w="1800"/>
            <w:tcBorders>
              <w:top w:val="single" w:color="AAAAAA" w:sz="1"/>
              <w:left w:val="single" w:color="AAAAAA" w:sz="1"/>
              <w:bottom w:val="single" w:color="AAAAAA" w:sz="1"/>
              <w:right w:val="single" w:color="AAAAAA" w:sz="1"/>
            </w:tcBorders>
            <w:shd w:fill="1F4E79"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Component</w:t>
            </w:r>
          </w:p>
        </w:tc>
        <w:tc>
          <w:tcPr>
            <w:tcW w:type="dxa" w:w="3800"/>
            <w:tcBorders>
              <w:top w:val="single" w:color="AAAAAA" w:sz="1"/>
              <w:left w:val="single" w:color="AAAAAA" w:sz="1"/>
              <w:bottom w:val="single" w:color="AAAAAA" w:sz="1"/>
              <w:right w:val="single" w:color="AAAAAA" w:sz="1"/>
            </w:tcBorders>
            <w:shd w:fill="1F4E79"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Description</w:t>
            </w:r>
          </w:p>
        </w:tc>
        <w:tc>
          <w:tcPr>
            <w:tcW w:type="dxa" w:w="2800"/>
            <w:tcBorders>
              <w:top w:val="single" w:color="AAAAAA" w:sz="1"/>
              <w:left w:val="single" w:color="AAAAAA" w:sz="1"/>
              <w:bottom w:val="single" w:color="AAAAAA" w:sz="1"/>
              <w:right w:val="single" w:color="AAAAAA" w:sz="1"/>
            </w:tcBorders>
            <w:shd w:fill="1F4E79"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Material/Specification</w:t>
            </w:r>
          </w:p>
        </w:tc>
      </w:tr>
      <w:tr>
        <w:tc>
          <w:tcPr>
            <w:tcW w:type="dxa" w:w="18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Shell</w:t>
            </w:r>
          </w:p>
        </w:tc>
        <w:tc>
          <w:tcPr>
            <w:tcW w:type="dxa" w:w="38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Cylindrical outer vessel containing tube bundle; one fluid (shell-side fluid) flows around the outside of the tubes; standard diameters 150–1500 mm; flanged ends</w:t>
            </w:r>
          </w:p>
        </w:tc>
        <w:tc>
          <w:tcPr>
            <w:tcW w:type="dxa" w:w="28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SS 316L for pharmaceutical product-contact; carbon steel for steam/utilities</w:t>
            </w:r>
          </w:p>
        </w:tc>
      </w:tr>
      <w:tr>
        <w:tc>
          <w:tcPr>
            <w:tcW w:type="dxa" w:w="18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Tube bundle</w:t>
            </w:r>
          </w:p>
        </w:tc>
        <w:tc>
          <w:tcPr>
            <w:tcW w:type="dxa" w:w="38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Bundle of tubes (19–25 mm OD typical) through which one fluid (tube-side fluid) flows; tubes welded or rolled into tube sheets at each end; typically 100–5000 tubes per bundle</w:t>
            </w:r>
          </w:p>
        </w:tc>
        <w:tc>
          <w:tcPr>
            <w:tcW w:type="dxa" w:w="28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SS 316L tubes for pharmaceutical product; copper or carbon steel for non-product utility side</w:t>
            </w:r>
          </w:p>
        </w:tc>
      </w:tr>
      <w:tr>
        <w:tc>
          <w:tcPr>
            <w:tcW w:type="dxa" w:w="18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Tube sheets</w:t>
            </w:r>
          </w:p>
        </w:tc>
        <w:tc>
          <w:tcPr>
            <w:tcW w:type="dxa" w:w="38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Thick circular plates at each end of shell; tubes are expanded (rolled) or welded into tube sheet holes; separate shell-side from tube-side fluids; critical sealing integrity</w:t>
            </w:r>
          </w:p>
        </w:tc>
        <w:tc>
          <w:tcPr>
            <w:tcW w:type="dxa" w:w="28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SS 316L; welded joint preferred over rolled for GMP applications (no crevices)</w:t>
            </w:r>
          </w:p>
        </w:tc>
      </w:tr>
      <w:tr>
        <w:tc>
          <w:tcPr>
            <w:tcW w:type="dxa" w:w="18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Baffles (shell-side)</w:t>
            </w:r>
          </w:p>
        </w:tc>
        <w:tc>
          <w:tcPr>
            <w:tcW w:type="dxa" w:w="38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Segmental baffle plates positioned perpendicular to shell axis; direct shell-side fluid across tube bundle in a zig-zag pattern; improve heat transfer and prevent flow bypassing</w:t>
            </w:r>
          </w:p>
        </w:tc>
        <w:tc>
          <w:tcPr>
            <w:tcW w:type="dxa" w:w="28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SS 316L; baffle spacing 20–100% of shell diameter; baffle cut 20–35%</w:t>
            </w:r>
          </w:p>
        </w:tc>
      </w:tr>
      <w:tr>
        <w:tc>
          <w:tcPr>
            <w:tcW w:type="dxa" w:w="18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Heads (bonnets)</w:t>
            </w:r>
          </w:p>
        </w:tc>
        <w:tc>
          <w:tcPr>
            <w:tcW w:type="dxa" w:w="38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End chambers at each end of exchanger; distribute tube-side fluid into tubes or collect it from tubes; may have multiple passes (U-tubes or multiple tube-side passes)</w:t>
            </w:r>
          </w:p>
        </w:tc>
        <w:tc>
          <w:tcPr>
            <w:tcW w:type="dxa" w:w="28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SS 316L; flanged for easy disassembly for cleaning and inspection</w:t>
            </w:r>
          </w:p>
        </w:tc>
      </w:tr>
      <w:tr>
        <w:tc>
          <w:tcPr>
            <w:tcW w:type="dxa" w:w="18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Nozzles</w:t>
            </w:r>
          </w:p>
        </w:tc>
        <w:tc>
          <w:tcPr>
            <w:tcW w:type="dxa" w:w="38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Inlet and outlet connections for both shell-side and tube-side fluids; positioned to give best flow distribution</w:t>
            </w:r>
          </w:p>
        </w:tc>
        <w:tc>
          <w:tcPr>
            <w:tcW w:type="dxa" w:w="28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SS 316L; sized for target fluid velocity</w:t>
            </w:r>
          </w:p>
        </w:tc>
      </w:tr>
    </w:tbl>
    <w:p>
      <w:pPr>
        <w:spacing w:after="60" w:before="60"/>
      </w:pPr>
      <w:r>
        <w:t xml:space="preserve"/>
      </w:r>
    </w:p>
    <w:p>
      <w:pPr>
        <w:pStyle w:val="Heading3"/>
        <w:spacing w:after="100" w:before="200"/>
      </w:pPr>
      <w:r>
        <w:rPr>
          <w:rFonts w:ascii="Arial" w:cs="Arial" w:eastAsia="Arial" w:hAnsi="Arial"/>
          <w:b/>
          <w:bCs/>
          <w:color w:val="2E75B6"/>
          <w:sz w:val="24"/>
          <w:szCs w:val="24"/>
        </w:rPr>
        <w:t xml:space="preserve">11.4.2 Working and Pharmaceutical Applications</w:t>
      </w:r>
    </w:p>
    <w:p>
      <w:pPr>
        <w:spacing w:after="80" w:before="80"/>
        <w:jc w:val="both"/>
      </w:pPr>
      <w:r>
        <w:rPr>
          <w:rFonts w:ascii="Arial" w:cs="Arial" w:eastAsia="Arial" w:hAnsi="Arial"/>
          <w:sz w:val="22"/>
          <w:szCs w:val="22"/>
        </w:rPr>
        <w:t xml:space="preserve">Hot fluid and cold fluid flow through separate circuits — one through the tubes (tube side), one around the tubes within the shell (shell side). Counter-current flow maximises temperature driving force. Baffles on the shell side force the fluid to flow across the tube bundle multiple times, increasing velocity and turbulence — improving the shell-side heat transfer coefficient.</w:t>
      </w:r>
    </w:p>
    <w:p>
      <w:pPr>
        <w:spacing w:after="60" w:before="60"/>
      </w:pPr>
      <w:r>
        <w:t xml:space="preserve"/>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3000"/>
      </w:tblGrid>
      <w:tr>
        <w:tc>
          <w:tcPr>
            <w:tcW w:type="dxa" w:w="2500"/>
            <w:tcBorders>
              <w:top w:val="single" w:color="AAAAAA" w:sz="1"/>
              <w:left w:val="single" w:color="AAAAAA" w:sz="1"/>
              <w:bottom w:val="single" w:color="AAAAAA" w:sz="1"/>
              <w:right w:val="single" w:color="AAAAAA" w:sz="1"/>
            </w:tcBorders>
            <w:shd w:fill="1F4E79"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Advantages</w:t>
            </w:r>
          </w:p>
        </w:tc>
        <w:tc>
          <w:tcPr>
            <w:tcW w:type="dxa" w:w="2500"/>
            <w:tcBorders>
              <w:top w:val="single" w:color="AAAAAA" w:sz="1"/>
              <w:left w:val="single" w:color="AAAAAA" w:sz="1"/>
              <w:bottom w:val="single" w:color="AAAAAA" w:sz="1"/>
              <w:right w:val="single" w:color="AAAAAA" w:sz="1"/>
            </w:tcBorders>
            <w:shd w:fill="1F4E79"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Disadvantages</w:t>
            </w:r>
          </w:p>
        </w:tc>
        <w:tc>
          <w:tcPr>
            <w:tcW w:type="dxa" w:w="3000"/>
            <w:tcBorders>
              <w:top w:val="single" w:color="AAAAAA" w:sz="1"/>
              <w:left w:val="single" w:color="AAAAAA" w:sz="1"/>
              <w:bottom w:val="single" w:color="AAAAAA" w:sz="1"/>
              <w:right w:val="single" w:color="AAAAAA" w:sz="1"/>
            </w:tcBorders>
            <w:shd w:fill="1F4E79"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Pharmaceutical Applications</w:t>
            </w:r>
          </w:p>
        </w:tc>
      </w:tr>
      <w:tr>
        <w:tc>
          <w:tcPr>
            <w:tcW w:type="dxa" w:w="25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Handles wide range of temperatures and pressures</w:t>
            </w:r>
          </w:p>
        </w:tc>
        <w:tc>
          <w:tcPr>
            <w:tcW w:type="dxa" w:w="25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More difficult to clean than PHE — not easily disassembled; CIP required</w:t>
            </w:r>
          </w:p>
        </w:tc>
        <w:tc>
          <w:tcPr>
            <w:tcW w:type="dxa" w:w="30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Heating/cooling of API solutions in batch and continuous reactors</w:t>
            </w:r>
          </w:p>
        </w:tc>
      </w:tr>
      <w:tr>
        <w:tc>
          <w:tcPr>
            <w:tcW w:type="dxa" w:w="25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Wide range of materials — can handle corrosive fluids with Hastelloy/titanium tubes</w:t>
            </w:r>
          </w:p>
        </w:tc>
        <w:tc>
          <w:tcPr>
            <w:tcW w:type="dxa" w:w="25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Not as compact as PHE — larger footprint</w:t>
            </w:r>
          </w:p>
        </w:tc>
        <w:tc>
          <w:tcPr>
            <w:tcW w:type="dxa" w:w="30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Steam heating of crystalliser mother liquor; steam heating of WFI storage tanks</w:t>
            </w:r>
          </w:p>
        </w:tc>
      </w:tr>
      <w:tr>
        <w:tc>
          <w:tcPr>
            <w:tcW w:type="dxa" w:w="25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Multiple-pass designs for high thermal efficiency</w:t>
            </w:r>
          </w:p>
        </w:tc>
        <w:tc>
          <w:tcPr>
            <w:tcW w:type="dxa" w:w="25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Difficult to inspect internally without full disassembly</w:t>
            </w:r>
          </w:p>
        </w:tc>
        <w:tc>
          <w:tcPr>
            <w:tcW w:type="dxa" w:w="30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Condenser in distillation — condensing WFI vapour</w:t>
            </w:r>
          </w:p>
        </w:tc>
      </w:tr>
      <w:tr>
        <w:tc>
          <w:tcPr>
            <w:tcW w:type="dxa" w:w="25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Can handle two-phase flow (condensing steam, boiling liquids)</w:t>
            </w:r>
          </w:p>
        </w:tc>
        <w:tc>
          <w:tcPr>
            <w:tcW w:type="dxa" w:w="25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Tube-side fouling difficult to clean without mechanical methods</w:t>
            </w:r>
          </w:p>
        </w:tc>
        <w:tc>
          <w:tcPr>
            <w:tcW w:type="dxa" w:w="30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Cooling of fermentation broths; heating of liquid parenterals before filling</w:t>
            </w:r>
          </w:p>
        </w:tc>
      </w:tr>
      <w:tr>
        <w:tc>
          <w:tcPr>
            <w:tcW w:type="dxa" w:w="25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Robust; suitable for high-fouling services with appropriate materials</w:t>
            </w:r>
          </w:p>
        </w:tc>
        <w:tc>
          <w:tcPr>
            <w:tcW w:type="dxa" w:w="25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Higher cost per m² heat transfer area than PHE</w:t>
            </w:r>
          </w:p>
        </w:tc>
        <w:tc>
          <w:tcPr>
            <w:tcW w:type="dxa" w:w="30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Large-scale API crystalliser heating/cooling jackets alternative</w:t>
            </w:r>
          </w:p>
        </w:tc>
      </w:tr>
    </w:tbl>
    <w:p>
      <w:pPr>
        <w:spacing w:after="60" w:before="60"/>
      </w:pPr>
      <w:r>
        <w:t xml:space="preserve"/>
      </w:r>
    </w:p>
    <w:p>
      <w:pPr>
        <w:pStyle w:val="Heading2"/>
        <w:spacing w:after="150" w:before="300"/>
      </w:pPr>
      <w:r>
        <w:rPr>
          <w:rFonts w:ascii="Arial" w:cs="Arial" w:eastAsia="Arial" w:hAnsi="Arial"/>
          <w:b/>
          <w:bCs/>
          <w:color w:val="1F4E79"/>
          <w:sz w:val="26"/>
          <w:szCs w:val="26"/>
        </w:rPr>
        <w:t xml:space="preserve">11.5 Plate Heat Exchanger (PHE)</w:t>
      </w:r>
    </w:p>
    <w:tbl>
      <w:tblPr>
        <w:tblW w:type="dxa" w:w="9400"/>
        <w:tblBorders>
          <w:top w:val="single" w:color="1F4E79" w:sz="3"/>
          <w:left w:val="single" w:color="1F4E79" w:sz="3"/>
          <w:bottom w:val="single" w:color="1F4E79" w:sz="3"/>
          <w:right w:val="single" w:color="1F4E79" w:sz="3"/>
          <w:insideH w:val="single" w:color="auto" w:sz="4"/>
          <w:insideV w:val="single" w:color="auto" w:sz="4"/>
        </w:tblBorders>
      </w:tblPr>
      <w:tblGrid>
        <w:gridCol w:w="1500"/>
        <w:gridCol w:w="7900"/>
      </w:tblGrid>
      <w:tr>
        <w:tc>
          <w:tcPr>
            <w:tcW w:type="dxa" w:w="1500"/>
            <w:tcBorders>
              <w:top w:val="none"/>
              <w:left w:val="none"/>
              <w:bottom w:val="none"/>
              <w:right w:val="single" w:color="CCDDEE" w:sz="1"/>
            </w:tcBorders>
            <w:shd w:fill="1F4E79" w:val="clear"/>
            <w:tcMar>
              <w:top w:type="dxa" w:w="100"/>
              <w:left w:type="dxa" w:w="80"/>
              <w:bottom w:type="dxa" w:w="100"/>
              <w:right w:type="dxa" w:w="80"/>
            </w:tcMar>
          </w:tcPr>
          <w:p>
            <w:pPr>
              <w:spacing w:after="20" w:before="20"/>
              <w:jc w:val="center"/>
            </w:pPr>
            <w:r>
              <w:rPr>
                <w:rFonts w:ascii="Arial" w:cs="Arial" w:eastAsia="Arial" w:hAnsi="Arial"/>
                <w:b/>
                <w:bCs/>
                <w:color w:val="FFFFFF"/>
                <w:sz w:val="28"/>
                <w:szCs w:val="28"/>
              </w:rPr>
              <w:t xml:space="preserve">[ QR ]</w:t>
            </w:r>
          </w:p>
          <w:p>
            <w:pPr>
              <w:spacing w:after="20" w:before="0"/>
              <w:jc w:val="center"/>
            </w:pPr>
            <w:r>
              <w:rPr>
                <w:rFonts w:ascii="Arial" w:cs="Arial" w:eastAsia="Arial" w:hAnsi="Arial"/>
                <w:color w:val="7DD3FC"/>
                <w:sz w:val="16"/>
                <w:szCs w:val="16"/>
              </w:rPr>
              <w:t xml:space="preserve">SCAN</w:t>
            </w:r>
          </w:p>
          <w:p>
            <w:pPr>
              <w:spacing w:after="0" w:before="0"/>
              <w:jc w:val="center"/>
            </w:pPr>
            <w:r>
              <w:rPr>
                <w:rFonts w:ascii="Arial" w:cs="Arial" w:eastAsia="Arial" w:hAnsi="Arial"/>
                <w:color w:val="7DD3FC"/>
                <w:sz w:val="16"/>
                <w:szCs w:val="16"/>
              </w:rPr>
              <w:t xml:space="preserve">TO VIEW</w:t>
            </w:r>
          </w:p>
        </w:tc>
        <w:tc>
          <w:tcPr>
            <w:tcW w:type="dxa" w:w="7900"/>
            <w:tcBorders>
              <w:top w:val="none"/>
              <w:left w:val="none"/>
              <w:bottom w:val="none"/>
              <w:right w:val="none"/>
            </w:tcBorders>
            <w:shd w:fill="EBF3FB" w:val="clear"/>
            <w:tcMar>
              <w:top w:type="dxa" w:w="80"/>
              <w:left w:type="dxa" w:w="140"/>
              <w:bottom w:type="dxa" w:w="80"/>
              <w:right w:type="dxa" w:w="120"/>
            </w:tcMar>
          </w:tcPr>
          <w:p>
            <w:pPr>
              <w:spacing w:after="20" w:before="40"/>
            </w:pPr>
            <w:r>
              <w:rPr>
                <w:rFonts w:ascii="Arial" w:cs="Arial" w:eastAsia="Arial" w:hAnsi="Arial"/>
                <w:b/>
                <w:bCs/>
                <w:color w:val="1F4E79"/>
                <w:sz w:val="22"/>
                <w:szCs w:val="22"/>
              </w:rPr>
              <w:t xml:space="preserve">📱  Plate Heat Exchanger (PHE)</w:t>
            </w:r>
          </w:p>
          <w:p>
            <w:pPr>
              <w:spacing w:after="20" w:before="0"/>
            </w:pPr>
            <w:r>
              <w:rPr>
                <w:rFonts w:ascii="Arial" w:cs="Arial" w:eastAsia="Arial" w:hAnsi="Arial"/>
                <w:color w:val="2E75B6"/>
                <w:sz w:val="18"/>
                <w:szCs w:val="18"/>
              </w:rPr>
              <w:t xml:space="preserve">Interactive Animation  +  5-Min Concept Lesson  +  Practice MCQs</w:t>
            </w:r>
          </w:p>
          <w:p>
            <w:pPr>
              <w:spacing w:after="40" w:before="0"/>
            </w:pPr>
            <w:r>
              <w:rPr>
                <w:rFonts w:ascii="Arial" w:cs="Arial" w:eastAsia="Arial" w:hAnsi="Arial"/>
                <w:i/>
                <w:iCs/>
                <w:color w:val="595959"/>
                <w:sz w:val="18"/>
                <w:szCs w:val="18"/>
              </w:rPr>
              <w:t xml:space="preserve">Corrugated plate stack animation, counter-current thin-channel flow, easy disassembly for cleaning, pharmaceutical milk pasteurisation and API solution heat exchange</w:t>
            </w:r>
          </w:p>
          <w:p>
            <w:pPr>
              <w:spacing w:after="20" w:before="0"/>
            </w:pPr>
            <w:r>
              <w:rPr>
                <w:rFonts w:ascii="Arial" w:cs="Arial" w:eastAsia="Arial" w:hAnsi="Arial"/>
                <w:color w:val="888888"/>
                <w:sz w:val="16"/>
                <w:szCs w:val="16"/>
              </w:rPr>
              <w:t xml:space="preserve">[ QR code will be inserted here after GitHub setup ]</w:t>
            </w:r>
          </w:p>
        </w:tc>
      </w:tr>
    </w:tbl>
    <w:p>
      <w:pPr>
        <w:spacing w:after="60" w:before="60"/>
      </w:pPr>
      <w:r>
        <w:t xml:space="preserve"/>
      </w:r>
    </w:p>
    <w:p>
      <w:pPr>
        <w:pStyle w:val="Heading3"/>
        <w:spacing w:after="100" w:before="200"/>
      </w:pPr>
      <w:r>
        <w:rPr>
          <w:rFonts w:ascii="Arial" w:cs="Arial" w:eastAsia="Arial" w:hAnsi="Arial"/>
          <w:b/>
          <w:bCs/>
          <w:color w:val="2E75B6"/>
          <w:sz w:val="24"/>
          <w:szCs w:val="24"/>
        </w:rPr>
        <w:t xml:space="preserve">11.5.1 Principle and Construction</w:t>
      </w:r>
    </w:p>
    <w:p>
      <w:pPr>
        <w:spacing w:after="80" w:before="80"/>
        <w:jc w:val="both"/>
      </w:pPr>
      <w:r>
        <w:rPr>
          <w:rFonts w:ascii="Arial" w:cs="Arial" w:eastAsia="Arial" w:hAnsi="Arial"/>
          <w:sz w:val="22"/>
          <w:szCs w:val="22"/>
        </w:rPr>
        <w:t xml:space="preserve">The plate heat exchanger consists of a stack of thin, corrugated metal plates clamped together between a fixed and a moveable frame. Hot and cold fluids flow alternately between adjacent plates in counter-current fashion. The corrugated (herringbone) pattern on the plate surfaces:</w:t>
      </w:r>
    </w:p>
    <w:p>
      <w:pPr>
        <w:pStyle w:val="ListParagraph"/>
        <w:numPr>
          <w:ilvl w:val="0"/>
          <w:numId w:val="2"/>
        </w:numPr>
        <w:spacing w:after="60" w:before="60"/>
      </w:pPr>
      <w:r>
        <w:rPr>
          <w:rFonts w:ascii="Arial" w:cs="Arial" w:eastAsia="Arial" w:hAnsi="Arial"/>
          <w:sz w:val="22"/>
          <w:szCs w:val="22"/>
        </w:rPr>
        <w:t xml:space="preserve">Increases turbulence at low flow rates — high heat transfer coefficient even in laminar flow regime</w:t>
      </w:r>
    </w:p>
    <w:p>
      <w:pPr>
        <w:pStyle w:val="ListParagraph"/>
        <w:numPr>
          <w:ilvl w:val="0"/>
          <w:numId w:val="2"/>
        </w:numPr>
        <w:spacing w:after="60" w:before="60"/>
      </w:pPr>
      <w:r>
        <w:rPr>
          <w:rFonts w:ascii="Arial" w:cs="Arial" w:eastAsia="Arial" w:hAnsi="Arial"/>
          <w:sz w:val="22"/>
          <w:szCs w:val="22"/>
        </w:rPr>
        <w:t xml:space="preserve">Increases effective surface area per unit footprint</w:t>
      </w:r>
    </w:p>
    <w:p>
      <w:pPr>
        <w:pStyle w:val="ListParagraph"/>
        <w:numPr>
          <w:ilvl w:val="0"/>
          <w:numId w:val="2"/>
        </w:numPr>
        <w:spacing w:after="60" w:before="60"/>
      </w:pPr>
      <w:r>
        <w:rPr>
          <w:rFonts w:ascii="Arial" w:cs="Arial" w:eastAsia="Arial" w:hAnsi="Arial"/>
          <w:sz w:val="22"/>
          <w:szCs w:val="22"/>
        </w:rPr>
        <w:t xml:space="preserve">Creates multiple support contact points between adjacent plates — allows thin plate material (0.5–1.0 mm SS 316L) to withstand pressure</w:t>
      </w:r>
    </w:p>
    <w:p>
      <w:pPr>
        <w:spacing w:after="60" w:before="60"/>
      </w:pPr>
      <w:r>
        <w:t xml:space="preserve"/>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2000"/>
        <w:gridCol w:w="6400"/>
      </w:tblGrid>
      <w:tr>
        <w:tc>
          <w:tcPr>
            <w:tcW w:type="dxa" w:w="2000"/>
            <w:tcBorders>
              <w:top w:val="single" w:color="AAAAAA" w:sz="1"/>
              <w:left w:val="single" w:color="AAAAAA" w:sz="1"/>
              <w:bottom w:val="single" w:color="AAAAAA" w:sz="1"/>
              <w:right w:val="single" w:color="AAAAAA" w:sz="1"/>
            </w:tcBorders>
            <w:shd w:fill="1F4E79"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Component</w:t>
            </w:r>
          </w:p>
        </w:tc>
        <w:tc>
          <w:tcPr>
            <w:tcW w:type="dxa" w:w="6400"/>
            <w:tcBorders>
              <w:top w:val="single" w:color="AAAAAA" w:sz="1"/>
              <w:left w:val="single" w:color="AAAAAA" w:sz="1"/>
              <w:bottom w:val="single" w:color="AAAAAA" w:sz="1"/>
              <w:right w:val="single" w:color="AAAAAA" w:sz="1"/>
            </w:tcBorders>
            <w:shd w:fill="1F4E79"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Description</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Plates</w:t>
            </w:r>
          </w:p>
        </w:tc>
        <w:tc>
          <w:tcPr>
            <w:tcW w:type="dxa" w:w="64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Thin corrugated SS 316L plates (0.5–1.0 mm thick); herringbone (chevron) corrugation pattern; gaskets seal periphery and central ports to direct fluid flow; port holes in corners for fluid entry/exit</w:t>
            </w:r>
          </w:p>
        </w:tc>
      </w:tr>
      <w:tr>
        <w:tc>
          <w:tcPr>
            <w:tcW w:type="dxa" w:w="20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Gaskets</w:t>
            </w:r>
          </w:p>
        </w:tc>
        <w:tc>
          <w:tcPr>
            <w:tcW w:type="dxa" w:w="64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Nitrile, EPDM, PTFE, or silicone; seal plate periphery and direct each fluid into alternating channels; food/pharma grade; autoclaveable or CIP-compatible</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Frame (fixed and moveable head)</w:t>
            </w:r>
          </w:p>
        </w:tc>
        <w:tc>
          <w:tcPr>
            <w:tcW w:type="dxa" w:w="64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Structural steel frame; tie bolts clamp plates together; moveable head allows plate stack to be separated for cleaning and inspection</w:t>
            </w:r>
          </w:p>
        </w:tc>
      </w:tr>
      <w:tr>
        <w:tc>
          <w:tcPr>
            <w:tcW w:type="dxa" w:w="20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Connections</w:t>
            </w:r>
          </w:p>
        </w:tc>
        <w:tc>
          <w:tcPr>
            <w:tcW w:type="dxa" w:w="64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Inlet and outlet nozzles on fixed head; hot fluid and cold fluid enter through separate ports on fixed head; alternating channels ensure counter-current flow</w:t>
            </w:r>
          </w:p>
        </w:tc>
      </w:tr>
    </w:tbl>
    <w:p>
      <w:pPr>
        <w:spacing w:after="60" w:before="60"/>
      </w:pPr>
      <w:r>
        <w:t xml:space="preserve"/>
      </w:r>
    </w:p>
    <w:tbl>
      <w:tblPr>
        <w:tblW w:type="dxa" w:w="8100"/>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2900"/>
      </w:tblGrid>
      <w:tr>
        <w:tc>
          <w:tcPr>
            <w:tcW w:type="dxa" w:w="2600"/>
            <w:tcBorders>
              <w:top w:val="single" w:color="AAAAAA" w:sz="1"/>
              <w:left w:val="single" w:color="AAAAAA" w:sz="1"/>
              <w:bottom w:val="single" w:color="AAAAAA" w:sz="1"/>
              <w:right w:val="single" w:color="AAAAAA" w:sz="1"/>
            </w:tcBorders>
            <w:shd w:fill="1F4E79"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Advantages</w:t>
            </w:r>
          </w:p>
        </w:tc>
        <w:tc>
          <w:tcPr>
            <w:tcW w:type="dxa" w:w="2600"/>
            <w:tcBorders>
              <w:top w:val="single" w:color="AAAAAA" w:sz="1"/>
              <w:left w:val="single" w:color="AAAAAA" w:sz="1"/>
              <w:bottom w:val="single" w:color="AAAAAA" w:sz="1"/>
              <w:right w:val="single" w:color="AAAAAA" w:sz="1"/>
            </w:tcBorders>
            <w:shd w:fill="1F4E79"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Disadvantages</w:t>
            </w:r>
          </w:p>
        </w:tc>
        <w:tc>
          <w:tcPr>
            <w:tcW w:type="dxa" w:w="2900"/>
            <w:tcBorders>
              <w:top w:val="single" w:color="AAAAAA" w:sz="1"/>
              <w:left w:val="single" w:color="AAAAAA" w:sz="1"/>
              <w:bottom w:val="single" w:color="AAAAAA" w:sz="1"/>
              <w:right w:val="single" w:color="AAAAAA" w:sz="1"/>
            </w:tcBorders>
            <w:shd w:fill="1F4E79"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Pharmaceutical Applications</w:t>
            </w:r>
          </w:p>
        </w:tc>
      </w:tr>
      <w:tr>
        <w:tc>
          <w:tcPr>
            <w:tcW w:type="dxa" w:w="26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Compact — 5–10× more surface area per unit volume than shell-and-tube</w:t>
            </w:r>
          </w:p>
        </w:tc>
        <w:tc>
          <w:tcPr>
            <w:tcW w:type="dxa" w:w="26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Pressure limitation — standard gaskets &lt; 25 bar; temperature &lt; 180°C</w:t>
            </w:r>
          </w:p>
        </w:tc>
        <w:tc>
          <w:tcPr>
            <w:tcW w:type="dxa" w:w="29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Pasteurisation of pharmaceutical liquids — milk-based nutritional products</w:t>
            </w:r>
          </w:p>
        </w:tc>
      </w:tr>
      <w:tr>
        <w:tc>
          <w:tcPr>
            <w:tcW w:type="dxa" w:w="26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Easy to clean and inspect — plates separated for manual or CIP cleaning</w:t>
            </w:r>
          </w:p>
        </w:tc>
        <w:tc>
          <w:tcPr>
            <w:tcW w:type="dxa" w:w="26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Gasket compatibility — must be compatible with all process fluids and cleaning agents</w:t>
            </w:r>
          </w:p>
        </w:tc>
        <w:tc>
          <w:tcPr>
            <w:tcW w:type="dxa" w:w="29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Heating and cooling of API solutions — continuous processing</w:t>
            </w:r>
          </w:p>
        </w:tc>
      </w:tr>
      <w:tr>
        <w:tc>
          <w:tcPr>
            <w:tcW w:type="dxa" w:w="26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Easy to modify capacity — add or remove plates</w:t>
            </w:r>
          </w:p>
        </w:tc>
        <w:tc>
          <w:tcPr>
            <w:tcW w:type="dxa" w:w="26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Cannot handle two-phase flow or high-viscosity fluids efficiently</w:t>
            </w:r>
          </w:p>
        </w:tc>
        <w:tc>
          <w:tcPr>
            <w:tcW w:type="dxa" w:w="29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Cooling of crystallisation mother liquor; heat exchange in WFI generation systems</w:t>
            </w:r>
          </w:p>
        </w:tc>
      </w:tr>
      <w:tr>
        <w:tc>
          <w:tcPr>
            <w:tcW w:type="dxa" w:w="26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High U values (1500–5000 W/m²K) — very efficient</w:t>
            </w:r>
          </w:p>
        </w:tc>
        <w:tc>
          <w:tcPr>
            <w:tcW w:type="dxa" w:w="26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Not suitable for fluids with particles — channels too narrow; blockage risk</w:t>
            </w:r>
          </w:p>
        </w:tc>
        <w:tc>
          <w:tcPr>
            <w:tcW w:type="dxa" w:w="29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Temperature control of fermenter feed in biopharmaceutical manufacture</w:t>
            </w:r>
          </w:p>
        </w:tc>
      </w:tr>
    </w:tbl>
    <w:p>
      <w:pPr>
        <w:spacing w:after="60" w:before="60"/>
      </w:pPr>
      <w:r>
        <w:t xml:space="preserve"/>
      </w:r>
    </w:p>
    <w:p>
      <w:pPr>
        <w:pStyle w:val="Heading2"/>
        <w:spacing w:after="150" w:before="300"/>
      </w:pPr>
      <w:r>
        <w:rPr>
          <w:rFonts w:ascii="Arial" w:cs="Arial" w:eastAsia="Arial" w:hAnsi="Arial"/>
          <w:b/>
          <w:bCs/>
          <w:color w:val="1F4E79"/>
          <w:sz w:val="26"/>
          <w:szCs w:val="26"/>
        </w:rPr>
        <w:t xml:space="preserve">11.6 Jacketed Vessel</w:t>
      </w:r>
    </w:p>
    <w:tbl>
      <w:tblPr>
        <w:tblW w:type="dxa" w:w="9400"/>
        <w:tblBorders>
          <w:top w:val="single" w:color="1F4E79" w:sz="3"/>
          <w:left w:val="single" w:color="1F4E79" w:sz="3"/>
          <w:bottom w:val="single" w:color="1F4E79" w:sz="3"/>
          <w:right w:val="single" w:color="1F4E79" w:sz="3"/>
          <w:insideH w:val="single" w:color="auto" w:sz="4"/>
          <w:insideV w:val="single" w:color="auto" w:sz="4"/>
        </w:tblBorders>
      </w:tblPr>
      <w:tblGrid>
        <w:gridCol w:w="1500"/>
        <w:gridCol w:w="7900"/>
      </w:tblGrid>
      <w:tr>
        <w:tc>
          <w:tcPr>
            <w:tcW w:type="dxa" w:w="1500"/>
            <w:tcBorders>
              <w:top w:val="none"/>
              <w:left w:val="none"/>
              <w:bottom w:val="none"/>
              <w:right w:val="single" w:color="CCDDEE" w:sz="1"/>
            </w:tcBorders>
            <w:shd w:fill="1F4E79" w:val="clear"/>
            <w:tcMar>
              <w:top w:type="dxa" w:w="100"/>
              <w:left w:type="dxa" w:w="80"/>
              <w:bottom w:type="dxa" w:w="100"/>
              <w:right w:type="dxa" w:w="80"/>
            </w:tcMar>
          </w:tcPr>
          <w:p>
            <w:pPr>
              <w:spacing w:after="20" w:before="20"/>
              <w:jc w:val="center"/>
            </w:pPr>
            <w:r>
              <w:rPr>
                <w:rFonts w:ascii="Arial" w:cs="Arial" w:eastAsia="Arial" w:hAnsi="Arial"/>
                <w:b/>
                <w:bCs/>
                <w:color w:val="FFFFFF"/>
                <w:sz w:val="28"/>
                <w:szCs w:val="28"/>
              </w:rPr>
              <w:t xml:space="preserve">[ QR ]</w:t>
            </w:r>
          </w:p>
          <w:p>
            <w:pPr>
              <w:spacing w:after="20" w:before="0"/>
              <w:jc w:val="center"/>
            </w:pPr>
            <w:r>
              <w:rPr>
                <w:rFonts w:ascii="Arial" w:cs="Arial" w:eastAsia="Arial" w:hAnsi="Arial"/>
                <w:color w:val="7DD3FC"/>
                <w:sz w:val="16"/>
                <w:szCs w:val="16"/>
              </w:rPr>
              <w:t xml:space="preserve">SCAN</w:t>
            </w:r>
          </w:p>
          <w:p>
            <w:pPr>
              <w:spacing w:after="0" w:before="0"/>
              <w:jc w:val="center"/>
            </w:pPr>
            <w:r>
              <w:rPr>
                <w:rFonts w:ascii="Arial" w:cs="Arial" w:eastAsia="Arial" w:hAnsi="Arial"/>
                <w:color w:val="7DD3FC"/>
                <w:sz w:val="16"/>
                <w:szCs w:val="16"/>
              </w:rPr>
              <w:t xml:space="preserve">TO VIEW</w:t>
            </w:r>
          </w:p>
        </w:tc>
        <w:tc>
          <w:tcPr>
            <w:tcW w:type="dxa" w:w="7900"/>
            <w:tcBorders>
              <w:top w:val="none"/>
              <w:left w:val="none"/>
              <w:bottom w:val="none"/>
              <w:right w:val="none"/>
            </w:tcBorders>
            <w:shd w:fill="EBF3FB" w:val="clear"/>
            <w:tcMar>
              <w:top w:type="dxa" w:w="80"/>
              <w:left w:type="dxa" w:w="140"/>
              <w:bottom w:type="dxa" w:w="80"/>
              <w:right w:type="dxa" w:w="120"/>
            </w:tcMar>
          </w:tcPr>
          <w:p>
            <w:pPr>
              <w:spacing w:after="20" w:before="40"/>
            </w:pPr>
            <w:r>
              <w:rPr>
                <w:rFonts w:ascii="Arial" w:cs="Arial" w:eastAsia="Arial" w:hAnsi="Arial"/>
                <w:b/>
                <w:bCs/>
                <w:color w:val="1F4E79"/>
                <w:sz w:val="22"/>
                <w:szCs w:val="22"/>
              </w:rPr>
              <w:t xml:space="preserve">📱  Jacketed Vessel — Pharmaceutical Reactor and Mixer Heating/Cooling</w:t>
            </w:r>
          </w:p>
          <w:p>
            <w:pPr>
              <w:spacing w:after="20" w:before="0"/>
            </w:pPr>
            <w:r>
              <w:rPr>
                <w:rFonts w:ascii="Arial" w:cs="Arial" w:eastAsia="Arial" w:hAnsi="Arial"/>
                <w:color w:val="2E75B6"/>
                <w:sz w:val="18"/>
                <w:szCs w:val="18"/>
              </w:rPr>
              <w:t xml:space="preserve">Interactive Animation  +  5-Min Concept Lesson  +  Practice MCQs</w:t>
            </w:r>
          </w:p>
          <w:p>
            <w:pPr>
              <w:spacing w:after="40" w:before="0"/>
            </w:pPr>
            <w:r>
              <w:rPr>
                <w:rFonts w:ascii="Arial" w:cs="Arial" w:eastAsia="Arial" w:hAnsi="Arial"/>
                <w:i/>
                <w:iCs/>
                <w:color w:val="595959"/>
                <w:sz w:val="18"/>
                <w:szCs w:val="18"/>
              </w:rPr>
              <w:t xml:space="preserve">Full jacket, half-pipe jacket, and limpet coil designs; steam/water circulation; temperature control in API synthesis reactors</w:t>
            </w:r>
          </w:p>
          <w:p>
            <w:pPr>
              <w:spacing w:after="20" w:before="0"/>
            </w:pPr>
            <w:r>
              <w:rPr>
                <w:rFonts w:ascii="Arial" w:cs="Arial" w:eastAsia="Arial" w:hAnsi="Arial"/>
                <w:color w:val="888888"/>
                <w:sz w:val="16"/>
                <w:szCs w:val="16"/>
              </w:rPr>
              <w:t xml:space="preserve">[ QR code will be inserted here after GitHub setup ]</w:t>
            </w:r>
          </w:p>
        </w:tc>
      </w:tr>
    </w:tbl>
    <w:p>
      <w:pPr>
        <w:spacing w:after="60" w:before="60"/>
      </w:pPr>
      <w:r>
        <w:t xml:space="preserve"/>
      </w:r>
    </w:p>
    <w:p>
      <w:pPr>
        <w:pStyle w:val="Heading3"/>
        <w:spacing w:after="100" w:before="200"/>
      </w:pPr>
      <w:r>
        <w:rPr>
          <w:rFonts w:ascii="Arial" w:cs="Arial" w:eastAsia="Arial" w:hAnsi="Arial"/>
          <w:b/>
          <w:bCs/>
          <w:color w:val="2E75B6"/>
          <w:sz w:val="24"/>
          <w:szCs w:val="24"/>
        </w:rPr>
        <w:t xml:space="preserve">11.6.1 Construction and Working</w:t>
      </w:r>
    </w:p>
    <w:p>
      <w:pPr>
        <w:spacing w:after="80" w:before="80"/>
        <w:jc w:val="both"/>
      </w:pPr>
      <w:r>
        <w:rPr>
          <w:rFonts w:ascii="Arial" w:cs="Arial" w:eastAsia="Arial" w:hAnsi="Arial"/>
          <w:sz w:val="22"/>
          <w:szCs w:val="22"/>
        </w:rPr>
        <w:t xml:space="preserve">A jacketed vessel is a process vessel (reactor, crystalliser, mixing tank, storage tank) with an outer jacket through which a heating or cooling fluid (steam, hot water, cold water, glycol, brine) is circulated. Heat is transferred through the vessel wall from jacket fluid to process contents (or vice versa for cooling).</w:t>
      </w:r>
    </w:p>
    <w:p>
      <w:pPr>
        <w:spacing w:after="60" w:before="6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3500"/>
      </w:tblGrid>
      <w:tr>
        <w:tc>
          <w:tcPr>
            <w:tcW w:type="dxa" w:w="2000"/>
            <w:tcBorders>
              <w:top w:val="single" w:color="AAAAAA" w:sz="1"/>
              <w:left w:val="single" w:color="AAAAAA" w:sz="1"/>
              <w:bottom w:val="single" w:color="AAAAAA" w:sz="1"/>
              <w:right w:val="single" w:color="AAAAAA" w:sz="1"/>
            </w:tcBorders>
            <w:shd w:fill="1F4E79"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Jacket Type</w:t>
            </w:r>
          </w:p>
        </w:tc>
        <w:tc>
          <w:tcPr>
            <w:tcW w:type="dxa" w:w="3500"/>
            <w:tcBorders>
              <w:top w:val="single" w:color="AAAAAA" w:sz="1"/>
              <w:left w:val="single" w:color="AAAAAA" w:sz="1"/>
              <w:bottom w:val="single" w:color="AAAAAA" w:sz="1"/>
              <w:right w:val="single" w:color="AAAAAA" w:sz="1"/>
            </w:tcBorders>
            <w:shd w:fill="1F4E79"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Description</w:t>
            </w:r>
          </w:p>
        </w:tc>
        <w:tc>
          <w:tcPr>
            <w:tcW w:type="dxa" w:w="3500"/>
            <w:tcBorders>
              <w:top w:val="single" w:color="AAAAAA" w:sz="1"/>
              <w:left w:val="single" w:color="AAAAAA" w:sz="1"/>
              <w:bottom w:val="single" w:color="AAAAAA" w:sz="1"/>
              <w:right w:val="single" w:color="AAAAAA" w:sz="1"/>
            </w:tcBorders>
            <w:shd w:fill="1F4E79"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Best Used For</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Conventional full jacket</w:t>
            </w:r>
          </w:p>
        </w:tc>
        <w:tc>
          <w:tcPr>
            <w:tcW w:type="dxa" w:w="35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Outer cylindrical shell completely surrounding the vessel; fluid fills entire annular space; simple construction; good for low pressure</w:t>
            </w:r>
          </w:p>
        </w:tc>
        <w:tc>
          <w:tcPr>
            <w:tcW w:type="dxa" w:w="35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Mixing vessels; storage tanks; crystallisers; gentle temperature control</w:t>
            </w:r>
          </w:p>
        </w:tc>
      </w:tr>
      <w:tr>
        <w:tc>
          <w:tcPr>
            <w:tcW w:type="dxa" w:w="20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Half-pipe jacket</w:t>
            </w:r>
          </w:p>
        </w:tc>
        <w:tc>
          <w:tcPr>
            <w:tcW w:type="dxa" w:w="35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Half-pipe sections welded helically to vessel exterior; higher pressure capability than full jacket; better fluid velocity (less dead zones)</w:t>
            </w:r>
          </w:p>
        </w:tc>
        <w:tc>
          <w:tcPr>
            <w:tcW w:type="dxa" w:w="35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API synthesis reactors requiring high-pressure steam or high-pressure cooling; better heat transfer than conventional jacket</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Limpet coil jacket</w:t>
            </w:r>
          </w:p>
        </w:tc>
        <w:tc>
          <w:tcPr>
            <w:tcW w:type="dxa" w:w="35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Circular-section coil welded to vessel exterior; highest pressure capability (&gt; 15 bar steam); maximum heat transfer coefficient</w:t>
            </w:r>
          </w:p>
        </w:tc>
        <w:tc>
          <w:tcPr>
            <w:tcW w:type="dxa" w:w="35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High-pressure/high-temperature synthesis reactors; cooling with refrigerant</w:t>
            </w:r>
          </w:p>
        </w:tc>
      </w:tr>
      <w:tr>
        <w:tc>
          <w:tcPr>
            <w:tcW w:type="dxa" w:w="20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Internal coil</w:t>
            </w:r>
          </w:p>
        </w:tc>
        <w:tc>
          <w:tcPr>
            <w:tcW w:type="dxa" w:w="35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Coil of tubing immersed inside vessel contents; heats/cools directly; higher U than jacket (fluid velocity higher inside coil)</w:t>
            </w:r>
          </w:p>
        </w:tc>
        <w:tc>
          <w:tcPr>
            <w:tcW w:type="dxa" w:w="35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Crystallisers; fermenters; large mixing vessels where jacket alone insufficient</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Dimple jacket</w:t>
            </w:r>
          </w:p>
        </w:tc>
        <w:tc>
          <w:tcPr>
            <w:tcW w:type="dxa" w:w="35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Sheet with dimpled impressions welded to vessel; creates turbulent fluid channels; medium-pressure rating</w:t>
            </w:r>
          </w:p>
        </w:tc>
        <w:tc>
          <w:tcPr>
            <w:tcW w:type="dxa" w:w="35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Medium-duty heating/cooling; more economic than half-pipe for moderate pressures</w:t>
            </w:r>
          </w:p>
        </w:tc>
      </w:tr>
    </w:tbl>
    <w:p>
      <w:pPr>
        <w:spacing w:after="60" w:before="60"/>
      </w:pPr>
      <w:r>
        <w:t xml:space="preserve"/>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3000"/>
      </w:tblGrid>
      <w:tr>
        <w:tc>
          <w:tcPr>
            <w:tcW w:type="dxa" w:w="2500"/>
            <w:tcBorders>
              <w:top w:val="single" w:color="AAAAAA" w:sz="1"/>
              <w:left w:val="single" w:color="AAAAAA" w:sz="1"/>
              <w:bottom w:val="single" w:color="AAAAAA" w:sz="1"/>
              <w:right w:val="single" w:color="AAAAAA" w:sz="1"/>
            </w:tcBorders>
            <w:shd w:fill="1F4E79"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Advantages</w:t>
            </w:r>
          </w:p>
        </w:tc>
        <w:tc>
          <w:tcPr>
            <w:tcW w:type="dxa" w:w="2500"/>
            <w:tcBorders>
              <w:top w:val="single" w:color="AAAAAA" w:sz="1"/>
              <w:left w:val="single" w:color="AAAAAA" w:sz="1"/>
              <w:bottom w:val="single" w:color="AAAAAA" w:sz="1"/>
              <w:right w:val="single" w:color="AAAAAA" w:sz="1"/>
            </w:tcBorders>
            <w:shd w:fill="1F4E79"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Disadvantages</w:t>
            </w:r>
          </w:p>
        </w:tc>
        <w:tc>
          <w:tcPr>
            <w:tcW w:type="dxa" w:w="3000"/>
            <w:tcBorders>
              <w:top w:val="single" w:color="AAAAAA" w:sz="1"/>
              <w:left w:val="single" w:color="AAAAAA" w:sz="1"/>
              <w:bottom w:val="single" w:color="AAAAAA" w:sz="1"/>
              <w:right w:val="single" w:color="AAAAAA" w:sz="1"/>
            </w:tcBorders>
            <w:shd w:fill="1F4E79"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Pharmaceutical Applications</w:t>
            </w:r>
          </w:p>
        </w:tc>
      </w:tr>
      <w:tr>
        <w:tc>
          <w:tcPr>
            <w:tcW w:type="dxa" w:w="25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Integrated with vessel — no additional equipment</w:t>
            </w:r>
          </w:p>
        </w:tc>
        <w:tc>
          <w:tcPr>
            <w:tcW w:type="dxa" w:w="25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Lower U value than external heat exchangers — large vessel area needed for equivalent duty</w:t>
            </w:r>
          </w:p>
        </w:tc>
        <w:tc>
          <w:tcPr>
            <w:tcW w:type="dxa" w:w="30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API synthesis reactors — exothermic reactions require cooling; endothermic reactions require heating</w:t>
            </w:r>
          </w:p>
        </w:tc>
      </w:tr>
      <w:tr>
        <w:tc>
          <w:tcPr>
            <w:tcW w:type="dxa" w:w="25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Simple, reliable — no external pump or heat exchanger required for small vessels</w:t>
            </w:r>
          </w:p>
        </w:tc>
        <w:tc>
          <w:tcPr>
            <w:tcW w:type="dxa" w:w="25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Limited to relatively small temperature ranges (steam to −20°C brine typically)</w:t>
            </w:r>
          </w:p>
        </w:tc>
        <w:tc>
          <w:tcPr>
            <w:tcW w:type="dxa" w:w="30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Crystallisation vessels — controlled temperature ramp critical for crystal size control</w:t>
            </w:r>
          </w:p>
        </w:tc>
      </w:tr>
      <w:tr>
        <w:tc>
          <w:tcPr>
            <w:tcW w:type="dxa" w:w="25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Easy to validate in GMP context — simple geometry, no dead legs</w:t>
            </w:r>
          </w:p>
        </w:tc>
        <w:tc>
          <w:tcPr>
            <w:tcW w:type="dxa" w:w="25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Jacket volume creates heat/cool lag — slow response to setpoint changes</w:t>
            </w:r>
          </w:p>
        </w:tc>
        <w:tc>
          <w:tcPr>
            <w:tcW w:type="dxa" w:w="30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Mixing vessels — maintaining process temperature during API dissolution or blending</w:t>
            </w:r>
          </w:p>
        </w:tc>
      </w:tr>
      <w:tr>
        <w:tc>
          <w:tcPr>
            <w:tcW w:type="dxa" w:w="25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Compatible with CIP and SIP — inner vessel surface accessible</w:t>
            </w:r>
          </w:p>
        </w:tc>
        <w:tc>
          <w:tcPr>
            <w:tcW w:type="dxa" w:w="25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Large vessels: jacket area may be insufficient — internal coil addition needed</w:t>
            </w:r>
          </w:p>
        </w:tc>
        <w:tc>
          <w:tcPr>
            <w:tcW w:type="dxa" w:w="30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Storage tanks for temperature-sensitive solutions (WFI at 80°C; refrigerated API solutions)</w:t>
            </w:r>
          </w:p>
        </w:tc>
      </w:tr>
    </w:tbl>
    <w:p>
      <w:pPr>
        <w:spacing w:after="60" w:before="60"/>
      </w:pPr>
      <w:r>
        <w:t xml:space="preserve"/>
      </w:r>
    </w:p>
    <w:p>
      <w:pPr>
        <w:pStyle w:val="Heading2"/>
        <w:spacing w:after="150" w:before="300"/>
      </w:pPr>
      <w:r>
        <w:rPr>
          <w:rFonts w:ascii="Arial" w:cs="Arial" w:eastAsia="Arial" w:hAnsi="Arial"/>
          <w:b/>
          <w:bCs/>
          <w:color w:val="1F4E79"/>
          <w:sz w:val="26"/>
          <w:szCs w:val="26"/>
        </w:rPr>
        <w:t xml:space="preserve">11.7 Fouling in Heat Exchangers</w:t>
      </w:r>
    </w:p>
    <w:p>
      <w:pPr>
        <w:spacing w:after="80" w:before="80"/>
        <w:jc w:val="both"/>
      </w:pPr>
      <w:r>
        <w:rPr>
          <w:rFonts w:ascii="Arial" w:cs="Arial" w:eastAsia="Arial" w:hAnsi="Arial"/>
          <w:sz w:val="22"/>
          <w:szCs w:val="22"/>
        </w:rPr>
        <w:t xml:space="preserve">Fouling is the accumulation of unwanted deposits on heat exchanger surfaces, which increases thermal resistance, reduces heat transfer, and may increase pressure drop. Fouling is a major operational challenge in pharmaceutical heat exchangers.</w:t>
      </w:r>
    </w:p>
    <w:p>
      <w:pPr>
        <w:spacing w:after="60" w:before="6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2500"/>
        <w:gridCol w:w="2700"/>
      </w:tblGrid>
      <w:tr>
        <w:tc>
          <w:tcPr>
            <w:tcW w:type="dxa" w:w="1800"/>
            <w:tcBorders>
              <w:top w:val="single" w:color="AAAAAA" w:sz="1"/>
              <w:left w:val="single" w:color="AAAAAA" w:sz="1"/>
              <w:bottom w:val="single" w:color="AAAAAA" w:sz="1"/>
              <w:right w:val="single" w:color="AAAAAA" w:sz="1"/>
            </w:tcBorders>
            <w:shd w:fill="1F4E79"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Fouling Type</w:t>
            </w:r>
          </w:p>
        </w:tc>
        <w:tc>
          <w:tcPr>
            <w:tcW w:type="dxa" w:w="2000"/>
            <w:tcBorders>
              <w:top w:val="single" w:color="AAAAAA" w:sz="1"/>
              <w:left w:val="single" w:color="AAAAAA" w:sz="1"/>
              <w:bottom w:val="single" w:color="AAAAAA" w:sz="1"/>
              <w:right w:val="single" w:color="AAAAAA" w:sz="1"/>
            </w:tcBorders>
            <w:shd w:fill="1F4E79"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Mechanism</w:t>
            </w:r>
          </w:p>
        </w:tc>
        <w:tc>
          <w:tcPr>
            <w:tcW w:type="dxa" w:w="2500"/>
            <w:tcBorders>
              <w:top w:val="single" w:color="AAAAAA" w:sz="1"/>
              <w:left w:val="single" w:color="AAAAAA" w:sz="1"/>
              <w:bottom w:val="single" w:color="AAAAAA" w:sz="1"/>
              <w:right w:val="single" w:color="AAAAAA" w:sz="1"/>
            </w:tcBorders>
            <w:shd w:fill="1F4E79"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Pharmaceutical Example</w:t>
            </w:r>
          </w:p>
        </w:tc>
        <w:tc>
          <w:tcPr>
            <w:tcW w:type="dxa" w:w="2700"/>
            <w:tcBorders>
              <w:top w:val="single" w:color="AAAAAA" w:sz="1"/>
              <w:left w:val="single" w:color="AAAAAA" w:sz="1"/>
              <w:bottom w:val="single" w:color="AAAAAA" w:sz="1"/>
              <w:right w:val="single" w:color="AAAAAA" w:sz="1"/>
            </w:tcBorders>
            <w:shd w:fill="1F4E79"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Prevention/Remedy</w:t>
            </w:r>
          </w:p>
        </w:tc>
      </w:tr>
      <w:tr>
        <w:tc>
          <w:tcPr>
            <w:tcW w:type="dxa" w:w="18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Biological fouling</w:t>
            </w:r>
          </w:p>
        </w:tc>
        <w:tc>
          <w:tcPr>
            <w:tcW w:type="dxa" w:w="20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Microbial biofilm growth on warm surfaces in contact with aqueous process fluids</w:t>
            </w:r>
          </w:p>
        </w:tc>
        <w:tc>
          <w:tcPr>
            <w:tcW w:type="dxa" w:w="25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Biofilm in WFI heat exchangers at 20–40°C; bacterial growth in cooling water systems</w:t>
            </w:r>
          </w:p>
        </w:tc>
        <w:tc>
          <w:tcPr>
            <w:tcW w:type="dxa" w:w="27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Hot storage (≥ 80°C) for WFI; regular passivation; automated CIP with hot NaOH and citric acid</w:t>
            </w:r>
          </w:p>
        </w:tc>
      </w:tr>
      <w:tr>
        <w:tc>
          <w:tcPr>
            <w:tcW w:type="dxa" w:w="18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Chemical reaction fouling</w:t>
            </w:r>
          </w:p>
        </w:tc>
        <w:tc>
          <w:tcPr>
            <w:tcW w:type="dxa" w:w="20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Chemical reactions at the heat exchanger surface deposit insoluble products</w:t>
            </w:r>
          </w:p>
        </w:tc>
        <w:tc>
          <w:tcPr>
            <w:tcW w:type="dxa" w:w="25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Caramelisation of sugar solutions on hot surfaces; protein denaturation deposits on pasteuriser plates</w:t>
            </w:r>
          </w:p>
        </w:tc>
        <w:tc>
          <w:tcPr>
            <w:tcW w:type="dxa" w:w="27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Control surface temperature; reduce residence time at hot surface; appropriate cleaning cycle</w:t>
            </w:r>
          </w:p>
        </w:tc>
      </w:tr>
      <w:tr>
        <w:tc>
          <w:tcPr>
            <w:tcW w:type="dxa" w:w="18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Crystallisation fouling (scaling)</w:t>
            </w:r>
          </w:p>
        </w:tc>
        <w:tc>
          <w:tcPr>
            <w:tcW w:type="dxa" w:w="20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Dissolved salts crystallise on heat transfer surfaces when concentration or temperature exceeds solubility</w:t>
            </w:r>
          </w:p>
        </w:tc>
        <w:tc>
          <w:tcPr>
            <w:tcW w:type="dxa" w:w="25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Calcium carbonate scale in cooling water systems; calcium phosphate in WFI systems</w:t>
            </w:r>
          </w:p>
        </w:tc>
        <w:tc>
          <w:tcPr>
            <w:tcW w:type="dxa" w:w="27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Water softening; antiscalant dosing; regular acid (citric acid) descaling</w:t>
            </w:r>
          </w:p>
        </w:tc>
      </w:tr>
      <w:tr>
        <w:tc>
          <w:tcPr>
            <w:tcW w:type="dxa" w:w="18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Particulate fouling</w:t>
            </w:r>
          </w:p>
        </w:tc>
        <w:tc>
          <w:tcPr>
            <w:tcW w:type="dxa" w:w="20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Suspended particles deposit on surfaces</w:t>
            </w:r>
          </w:p>
        </w:tc>
        <w:tc>
          <w:tcPr>
            <w:tcW w:type="dxa" w:w="25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API crystals depositing on crystalliser jacket; catalyst particles fouling tubular reactors</w:t>
            </w:r>
          </w:p>
        </w:tc>
        <w:tc>
          <w:tcPr>
            <w:tcW w:type="dxa" w:w="27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Adequate flow velocity to maintain suspension; periodic cleaning</w:t>
            </w:r>
          </w:p>
        </w:tc>
      </w:tr>
    </w:tbl>
    <w:p>
      <w:pPr>
        <w:spacing w:after="60" w:before="60"/>
      </w:pPr>
      <w:r>
        <w:t xml:space="preserve"/>
      </w:r>
    </w:p>
    <w:p>
      <w:pPr>
        <w:pStyle w:val="Heading2"/>
        <w:spacing w:after="150" w:before="300"/>
      </w:pPr>
      <w:r>
        <w:rPr>
          <w:rFonts w:ascii="Arial" w:cs="Arial" w:eastAsia="Arial" w:hAnsi="Arial"/>
          <w:b/>
          <w:bCs/>
          <w:color w:val="1F4E79"/>
          <w:sz w:val="26"/>
          <w:szCs w:val="26"/>
        </w:rPr>
        <w:t xml:space="preserve">Industry Box 11.1 — Heat Exchanger Design for API Crystallisation at Sun Pharma</w:t>
      </w:r>
    </w:p>
    <w:p>
      <w:pPr>
        <w:shd w:fill="EBF3FB" w:val="clear"/>
        <w:spacing w:after="80" w:before="80"/>
        <w:jc w:val="both"/>
      </w:pPr>
      <w:r>
        <w:rPr>
          <w:rFonts w:ascii="Arial" w:cs="Arial" w:eastAsia="Arial" w:hAnsi="Arial"/>
          <w:b/>
          <w:bCs/>
          <w:sz w:val="22"/>
          <w:szCs w:val="22"/>
        </w:rPr>
        <w:t xml:space="preserve">Process: Paracetamol crystallisation | Equipment: Jacketed crystalliser with internal cooling coil | Company: Sun Pharmaceutical Industries</w:t>
      </w:r>
    </w:p>
    <w:p>
      <w:pPr>
        <w:shd w:fill="EBF3FB" w:val="clear"/>
        <w:spacing w:after="80" w:before="80"/>
        <w:jc w:val="both"/>
      </w:pPr>
      <w:r>
        <w:rPr>
          <w:rFonts w:ascii="Arial" w:cs="Arial" w:eastAsia="Arial" w:hAnsi="Arial"/>
          <w:sz w:val="22"/>
          <w:szCs w:val="22"/>
        </w:rPr>
        <w:t xml:space="preserve">Paracetamol API crystallisation requires precise temperature control — the temperature-time profile determines crystal size, polymorphic form, and filterability. The crystalliser is a 5000-litre SS 316L vessel with:</w:t>
      </w:r>
    </w:p>
    <w:p>
      <w:pPr>
        <w:shd w:fill="EBF3FB" w:val="clear"/>
        <w:spacing w:after="80" w:before="80"/>
        <w:jc w:val="both"/>
      </w:pPr>
      <w:r>
        <w:rPr>
          <w:rFonts w:ascii="Arial" w:cs="Arial" w:eastAsia="Arial" w:hAnsi="Arial"/>
          <w:sz w:val="22"/>
          <w:szCs w:val="22"/>
        </w:rPr>
        <w:t xml:space="preserve">1. Full conventional jacket (600 m² area) — circulates chilled water (−5°C to +80°C range) using a glycol-water heat transfer fluid; controlled by PID temperature controller; ramp rate 0.5°C/min for controlled cooling crystallisation</w:t>
      </w:r>
    </w:p>
    <w:p>
      <w:pPr>
        <w:shd w:fill="EBF3FB" w:val="clear"/>
        <w:spacing w:after="80" w:before="80"/>
        <w:jc w:val="both"/>
      </w:pPr>
      <w:r>
        <w:rPr>
          <w:rFonts w:ascii="Arial" w:cs="Arial" w:eastAsia="Arial" w:hAnsi="Arial"/>
          <w:sz w:val="22"/>
          <w:szCs w:val="22"/>
        </w:rPr>
        <w:t xml:space="preserve">2. Internal SS 316L coil (additional 80 m² area) — supplementary cooling for high cooling duty phases; reduces cooling time by 30% vs jacket alone</w:t>
      </w:r>
    </w:p>
    <w:p>
      <w:pPr>
        <w:shd w:fill="EBF3FB" w:val="clear"/>
        <w:spacing w:after="80" w:before="80"/>
        <w:jc w:val="both"/>
      </w:pPr>
      <w:r>
        <w:rPr>
          <w:rFonts w:ascii="Arial" w:cs="Arial" w:eastAsia="Arial" w:hAnsi="Arial"/>
          <w:sz w:val="22"/>
          <w:szCs w:val="22"/>
        </w:rPr>
        <w:t xml:space="preserve">3. Temperature probes at 3 heights in the vessel — monitors stratification; ensures uniform bulk temperature (critical for consistent crystal properties across the batch)</w:t>
      </w:r>
    </w:p>
    <w:p>
      <w:pPr>
        <w:shd w:fill="EBF3FB" w:val="clear"/>
        <w:spacing w:after="80" w:before="80"/>
        <w:jc w:val="both"/>
      </w:pPr>
      <w:r>
        <w:rPr>
          <w:rFonts w:ascii="Arial" w:cs="Arial" w:eastAsia="Arial" w:hAnsi="Arial"/>
          <w:sz w:val="22"/>
          <w:szCs w:val="22"/>
        </w:rPr>
        <w:t xml:space="preserve">Heat Transfer Calculations: Q_required = 5000 L × 1.3 kg/L × 4.0 kJ/kg°C × 0.5°C/min × 60 min/hr = 780,000 kJ/hr. LMTD at target cooling rate (process at 60°C, jacket at −5°C) = approx. 65°C. U for jacketed vessel = 350 W/m²K. Area required = 780,000 / (3.6 × 350 × 65) = 9.5 m². Actual jacket area = 60 m² — ample capacity. This excess area provides a safety factor and allows faster cooling when needed.</w:t>
      </w:r>
    </w:p>
    <w:p>
      <w:pPr>
        <w:shd w:fill="EBF3FB" w:val="clear"/>
        <w:spacing w:after="80" w:before="80"/>
        <w:jc w:val="both"/>
      </w:pPr>
      <w:r>
        <w:rPr>
          <w:rFonts w:ascii="Arial" w:cs="Arial" w:eastAsia="Arial" w:hAnsi="Arial"/>
          <w:sz w:val="22"/>
          <w:szCs w:val="22"/>
        </w:rPr>
        <w:t xml:space="preserve">Engineering lesson: For batch crystallisation, heat exchanger area must be sized not for steady-state operation but for the PEAK cooling demand — which occurs during the fastest cooling phase of the temperature ramp. The heat transfer coefficient in a stirred crystalliser jacket is lower than in a tubular heat exchanger due to lower fluid velocity — this is why jacketed vessels require much larger area per unit of heat transferred compared to shell-and-tube exchangers.</w:t>
      </w:r>
    </w:p>
    <w:p>
      <w:pPr>
        <w:spacing w:after="60" w:before="60"/>
      </w:pPr>
      <w:r>
        <w:t xml:space="preserve"/>
      </w:r>
    </w:p>
    <w:p>
      <w:pPr>
        <w:pStyle w:val="Heading2"/>
        <w:spacing w:after="150" w:before="300"/>
      </w:pPr>
      <w:r>
        <w:rPr>
          <w:rFonts w:ascii="Arial" w:cs="Arial" w:eastAsia="Arial" w:hAnsi="Arial"/>
          <w:b/>
          <w:bCs/>
          <w:color w:val="1F4E79"/>
          <w:sz w:val="26"/>
          <w:szCs w:val="26"/>
        </w:rPr>
        <w:t xml:space="preserve">Worked Example 11.1 — Heat Exchanger Area Calculation</w:t>
      </w:r>
    </w:p>
    <w:p>
      <w:pPr>
        <w:shd w:fill="FFF2CC" w:val="clear"/>
        <w:spacing w:after="80" w:before="80"/>
        <w:jc w:val="both"/>
      </w:pPr>
      <w:r>
        <w:rPr>
          <w:rFonts w:ascii="Arial" w:cs="Arial" w:eastAsia="Arial" w:hAnsi="Arial"/>
          <w:b/>
          <w:bCs/>
          <w:sz w:val="22"/>
          <w:szCs w:val="22"/>
        </w:rPr>
        <w:t xml:space="preserve">Problem: Design a shell-and-tube heat exchanger to cool 500 L/hr of API solution from 80°C to 30°C using cooling water entering at 15°C and leaving at 25°C. Cp of API solution = 3.8 kJ/kg°C; density = 1050 kg/m³. Overall heat transfer coefficient U = 600 W/m²K. Assume counter-current flow.</w:t>
      </w:r>
    </w:p>
    <w:p>
      <w:pPr>
        <w:spacing w:after="60" w:before="60"/>
      </w:pPr>
      <w:r>
        <w:t xml:space="preserve"/>
      </w:r>
    </w:p>
    <w:p>
      <w:pPr>
        <w:shd w:fill="FFF2CC" w:val="clear"/>
        <w:spacing w:after="80" w:before="80"/>
        <w:jc w:val="both"/>
      </w:pPr>
      <w:r>
        <w:rPr>
          <w:rFonts w:ascii="Arial" w:cs="Arial" w:eastAsia="Arial" w:hAnsi="Arial"/>
          <w:b/>
          <w:bCs/>
          <w:sz w:val="22"/>
          <w:szCs w:val="22"/>
        </w:rPr>
        <w:t xml:space="preserve">Step 1 — Heat duty (Q):</w:t>
      </w:r>
    </w:p>
    <w:p>
      <w:pPr>
        <w:shd w:fill="FFF2CC" w:val="clear"/>
        <w:spacing w:after="80" w:before="80"/>
        <w:jc w:val="both"/>
      </w:pPr>
      <w:r>
        <w:rPr>
          <w:rFonts w:ascii="Arial" w:cs="Arial" w:eastAsia="Arial" w:hAnsi="Arial"/>
          <w:sz w:val="22"/>
          <w:szCs w:val="22"/>
        </w:rPr>
        <w:t xml:space="preserve">Mass flow of API solution = 500 L/hr × 1.050 kg/L = 525 kg/hr = 0.1458 kg/s</w:t>
      </w:r>
    </w:p>
    <w:p>
      <w:pPr>
        <w:shd w:fill="FFF2CC" w:val="clear"/>
        <w:spacing w:after="80" w:before="80"/>
        <w:jc w:val="both"/>
      </w:pPr>
      <w:r>
        <w:rPr>
          <w:rFonts w:ascii="Arial" w:cs="Arial" w:eastAsia="Arial" w:hAnsi="Arial"/>
          <w:sz w:val="22"/>
          <w:szCs w:val="22"/>
        </w:rPr>
        <w:t xml:space="preserve">Q = ṁ × Cp × ΔT = 0.1458 × 3800 × (80 − 30) = 0.1458 × 3800 × 50 = 27,702 W ≈ 27.7 kW</w:t>
      </w:r>
    </w:p>
    <w:p>
      <w:pPr>
        <w:spacing w:after="60" w:before="60"/>
      </w:pPr>
      <w:r>
        <w:t xml:space="preserve"/>
      </w:r>
    </w:p>
    <w:p>
      <w:pPr>
        <w:shd w:fill="FFF2CC" w:val="clear"/>
        <w:spacing w:after="80" w:before="80"/>
        <w:jc w:val="both"/>
      </w:pPr>
      <w:r>
        <w:rPr>
          <w:rFonts w:ascii="Arial" w:cs="Arial" w:eastAsia="Arial" w:hAnsi="Arial"/>
          <w:b/>
          <w:bCs/>
          <w:sz w:val="22"/>
          <w:szCs w:val="22"/>
        </w:rPr>
        <w:t xml:space="preserve">Step 2 — LMTD (counter-current):</w:t>
      </w:r>
    </w:p>
    <w:p>
      <w:pPr>
        <w:shd w:fill="FFF2CC" w:val="clear"/>
        <w:spacing w:after="80" w:before="80"/>
        <w:jc w:val="both"/>
      </w:pPr>
      <w:r>
        <w:rPr>
          <w:rFonts w:ascii="Arial" w:cs="Arial" w:eastAsia="Arial" w:hAnsi="Arial"/>
          <w:sz w:val="22"/>
          <w:szCs w:val="22"/>
        </w:rPr>
        <w:t xml:space="preserve">Hot fluid: enters 80°C, exits 30°C</w:t>
      </w:r>
    </w:p>
    <w:p>
      <w:pPr>
        <w:shd w:fill="FFF2CC" w:val="clear"/>
        <w:spacing w:after="80" w:before="80"/>
        <w:jc w:val="both"/>
      </w:pPr>
      <w:r>
        <w:rPr>
          <w:rFonts w:ascii="Arial" w:cs="Arial" w:eastAsia="Arial" w:hAnsi="Arial"/>
          <w:sz w:val="22"/>
          <w:szCs w:val="22"/>
        </w:rPr>
        <w:t xml:space="preserve">Cold fluid (counter-current): enters 15°C (cold end), exits 25°C (hot end)</w:t>
      </w:r>
    </w:p>
    <w:p>
      <w:pPr>
        <w:shd w:fill="FFF2CC" w:val="clear"/>
        <w:spacing w:after="80" w:before="80"/>
        <w:jc w:val="both"/>
      </w:pPr>
      <w:r>
        <w:rPr>
          <w:rFonts w:ascii="Arial" w:cs="Arial" w:eastAsia="Arial" w:hAnsi="Arial"/>
          <w:sz w:val="22"/>
          <w:szCs w:val="22"/>
        </w:rPr>
        <w:t xml:space="preserve">ΔT₁ = T_hot,in − T_cold,out = 80 − 25 = 55°C</w:t>
      </w:r>
    </w:p>
    <w:p>
      <w:pPr>
        <w:shd w:fill="FFF2CC" w:val="clear"/>
        <w:spacing w:after="80" w:before="80"/>
        <w:jc w:val="both"/>
      </w:pPr>
      <w:r>
        <w:rPr>
          <w:rFonts w:ascii="Arial" w:cs="Arial" w:eastAsia="Arial" w:hAnsi="Arial"/>
          <w:sz w:val="22"/>
          <w:szCs w:val="22"/>
        </w:rPr>
        <w:t xml:space="preserve">ΔT₂ = T_hot,out − T_cold,in = 30 − 15 = 15°C</w:t>
      </w:r>
    </w:p>
    <w:p>
      <w:pPr>
        <w:shd w:fill="EBF3FB" w:val="clear"/>
        <w:spacing w:after="140" w:before="140"/>
        <w:jc w:val="center"/>
      </w:pPr>
      <w:r>
        <w:rPr>
          <w:rFonts w:ascii="Courier New" w:cs="Courier New" w:eastAsia="Courier New" w:hAnsi="Courier New"/>
          <w:b/>
          <w:bCs/>
          <w:color w:val="1F4E79"/>
          <w:sz w:val="24"/>
          <w:szCs w:val="24"/>
        </w:rPr>
        <w:t xml:space="preserve">LMTD = (55 − 15) / ln(55/15) = 40 / ln(3.667) = 40 / 1.299 = 30.8°C</w:t>
      </w:r>
    </w:p>
    <w:p>
      <w:pPr>
        <w:spacing w:after="60" w:before="60"/>
      </w:pPr>
      <w:r>
        <w:t xml:space="preserve"/>
      </w:r>
    </w:p>
    <w:p>
      <w:pPr>
        <w:shd w:fill="FFF2CC" w:val="clear"/>
        <w:spacing w:after="80" w:before="80"/>
        <w:jc w:val="both"/>
      </w:pPr>
      <w:r>
        <w:rPr>
          <w:rFonts w:ascii="Arial" w:cs="Arial" w:eastAsia="Arial" w:hAnsi="Arial"/>
          <w:b/>
          <w:bCs/>
          <w:sz w:val="22"/>
          <w:szCs w:val="22"/>
        </w:rPr>
        <w:t xml:space="preserve">Step 3 — Heat transfer area (A):</w:t>
      </w:r>
    </w:p>
    <w:p>
      <w:pPr>
        <w:shd w:fill="EBF3FB" w:val="clear"/>
        <w:spacing w:after="140" w:before="140"/>
        <w:jc w:val="center"/>
      </w:pPr>
      <w:r>
        <w:rPr>
          <w:rFonts w:ascii="Courier New" w:cs="Courier New" w:eastAsia="Courier New" w:hAnsi="Courier New"/>
          <w:b/>
          <w:bCs/>
          <w:color w:val="1F4E79"/>
          <w:sz w:val="24"/>
          <w:szCs w:val="24"/>
        </w:rPr>
        <w:t xml:space="preserve">A = Q / (U × LMTD) = 27,700 / (600 × 30.8) = 27,700 / 18,480 = 1.50 m²</w:t>
      </w:r>
    </w:p>
    <w:p>
      <w:pPr>
        <w:shd w:fill="FFF2CC" w:val="clear"/>
        <w:spacing w:after="80" w:before="80"/>
        <w:jc w:val="both"/>
      </w:pPr>
      <w:r>
        <w:rPr>
          <w:rFonts w:ascii="Arial" w:cs="Arial" w:eastAsia="Arial" w:hAnsi="Arial"/>
          <w:b/>
          <w:bCs/>
          <w:sz w:val="22"/>
          <w:szCs w:val="22"/>
        </w:rPr>
        <w:t xml:space="preserve">A required = 1.50 m². Design with 20% safety factor → A_design = 1.50 × 1.2 = 1.80 m².</w:t>
      </w:r>
    </w:p>
    <w:p>
      <w:pPr>
        <w:shd w:fill="FFF2CC" w:val="clear"/>
        <w:spacing w:after="80" w:before="80"/>
        <w:jc w:val="both"/>
      </w:pPr>
      <w:r>
        <w:rPr>
          <w:rFonts w:ascii="Arial" w:cs="Arial" w:eastAsia="Arial" w:hAnsi="Arial"/>
          <w:sz w:val="22"/>
          <w:szCs w:val="22"/>
        </w:rPr>
        <w:t xml:space="preserve">A shell-and-tube exchanger with approximately 15–20 tubes of 1 m length (19 mm OD) would provide this area. This represents a compact unit — demonstrating the efficiency of counter-current shell-and-tube heat exchange.</w:t>
      </w:r>
    </w:p>
    <w:p>
      <w:pPr>
        <w:spacing w:after="60" w:before="60"/>
      </w:pPr>
      <w:r>
        <w:t xml:space="preserve"/>
      </w:r>
    </w:p>
    <w:p>
      <w:pPr>
        <w:pStyle w:val="Heading2"/>
        <w:spacing w:after="150" w:before="300"/>
      </w:pPr>
      <w:r>
        <w:rPr>
          <w:rFonts w:ascii="Arial" w:cs="Arial" w:eastAsia="Arial" w:hAnsi="Arial"/>
          <w:b/>
          <w:bCs/>
          <w:color w:val="1F4E79"/>
          <w:sz w:val="26"/>
          <w:szCs w:val="26"/>
        </w:rPr>
        <w:t xml:space="preserve">Key Points — Chapter 11</w:t>
      </w:r>
    </w:p>
    <w:p>
      <w:pPr>
        <w:shd w:fill="E2EFDA" w:val="clear"/>
        <w:spacing w:after="80" w:before="80"/>
        <w:jc w:val="both"/>
      </w:pPr>
      <w:r>
        <w:rPr>
          <w:rFonts w:ascii="Arial" w:cs="Arial" w:eastAsia="Arial" w:hAnsi="Arial"/>
          <w:sz w:val="22"/>
          <w:szCs w:val="22"/>
        </w:rPr>
        <w:t xml:space="preserve">1. Three modes of heat transfer: Conduction (Fourier's Law: q = −k A dT/dx); Convection (Newton's Law: q = h A ΔT); Radiation (Stefan-Boltzmann: q = ε σ A (T₁⁴−T₂⁴)).</w:t>
      </w:r>
    </w:p>
    <w:p>
      <w:pPr>
        <w:shd w:fill="E2EFDA" w:val="clear"/>
        <w:spacing w:after="80" w:before="80"/>
        <w:jc w:val="both"/>
      </w:pPr>
      <w:r>
        <w:rPr>
          <w:rFonts w:ascii="Arial" w:cs="Arial" w:eastAsia="Arial" w:hAnsi="Arial"/>
          <w:sz w:val="22"/>
          <w:szCs w:val="22"/>
        </w:rPr>
        <w:t xml:space="preserve">2. Overall heat transfer coefficient U: 1/U = 1/h_i + R_fi + Δx/k + R_fo + 1/h_o. Fouling resistances (R_fi, R_fo) reduce U significantly — clean U can drop 30–50% with fouling.</w:t>
      </w:r>
    </w:p>
    <w:p>
      <w:pPr>
        <w:shd w:fill="E2EFDA" w:val="clear"/>
        <w:spacing w:after="80" w:before="80"/>
        <w:jc w:val="both"/>
      </w:pPr>
      <w:r>
        <w:rPr>
          <w:rFonts w:ascii="Arial" w:cs="Arial" w:eastAsia="Arial" w:hAnsi="Arial"/>
          <w:sz w:val="22"/>
          <w:szCs w:val="22"/>
        </w:rPr>
        <w:t xml:space="preserve">3. LMTD = (ΔT₁ − ΔT₂) / ln(ΔT₁/ΔT₂). Counter-current flow gives higher LMTD than co-current — preferred for pharmaceutical heat exchangers.</w:t>
      </w:r>
    </w:p>
    <w:p>
      <w:pPr>
        <w:shd w:fill="E2EFDA" w:val="clear"/>
        <w:spacing w:after="80" w:before="80"/>
        <w:jc w:val="both"/>
      </w:pPr>
      <w:r>
        <w:rPr>
          <w:rFonts w:ascii="Arial" w:cs="Arial" w:eastAsia="Arial" w:hAnsi="Arial"/>
          <w:sz w:val="22"/>
          <w:szCs w:val="22"/>
        </w:rPr>
        <w:t xml:space="preserve">4. Heat exchanger design equation: Q = U × A × LMTD. Given heat duty Q, U, and LMTD → calculate required area A. Always add 20% safety factor to calculated area.</w:t>
      </w:r>
    </w:p>
    <w:p>
      <w:pPr>
        <w:shd w:fill="E2EFDA" w:val="clear"/>
        <w:spacing w:after="80" w:before="80"/>
        <w:jc w:val="both"/>
      </w:pPr>
      <w:r>
        <w:rPr>
          <w:rFonts w:ascii="Arial" w:cs="Arial" w:eastAsia="Arial" w:hAnsi="Arial"/>
          <w:sz w:val="22"/>
          <w:szCs w:val="22"/>
        </w:rPr>
        <w:t xml:space="preserve">5. Shell-and-tube heat exchanger: tube bundle in cylindrical shell; baffles improve shell-side heat transfer; counter-current preferred; handles two-phase flow; robust; used for API solution heating/cooling, WFI condensers.</w:t>
      </w:r>
    </w:p>
    <w:p>
      <w:pPr>
        <w:shd w:fill="E2EFDA" w:val="clear"/>
        <w:spacing w:after="80" w:before="80"/>
        <w:jc w:val="both"/>
      </w:pPr>
      <w:r>
        <w:rPr>
          <w:rFonts w:ascii="Arial" w:cs="Arial" w:eastAsia="Arial" w:hAnsi="Arial"/>
          <w:sz w:val="22"/>
          <w:szCs w:val="22"/>
        </w:rPr>
        <w:t xml:space="preserve">6. Plate heat exchanger (PHE): corrugated plates; very high U (1500–5000 W/m²K); compact; easy to clean; limited pressure (&lt; 25 bar); used for pasteurisation, API solution processing, fermentation cooling.</w:t>
      </w:r>
    </w:p>
    <w:p>
      <w:pPr>
        <w:shd w:fill="E2EFDA" w:val="clear"/>
        <w:spacing w:after="80" w:before="80"/>
        <w:jc w:val="both"/>
      </w:pPr>
      <w:r>
        <w:rPr>
          <w:rFonts w:ascii="Arial" w:cs="Arial" w:eastAsia="Arial" w:hAnsi="Arial"/>
          <w:sz w:val="22"/>
          <w:szCs w:val="22"/>
        </w:rPr>
        <w:t xml:space="preserve">7. Jacketed vessel: integral heating/cooling for process vessels; full jacket, half-pipe jacket, limpet coil designs; lower U than exchangers but integral with process vessel; used in API synthesis, crystallisation, mixing.</w:t>
      </w:r>
    </w:p>
    <w:p>
      <w:pPr>
        <w:shd w:fill="E2EFDA" w:val="clear"/>
        <w:spacing w:after="80" w:before="80"/>
        <w:jc w:val="both"/>
      </w:pPr>
      <w:r>
        <w:rPr>
          <w:rFonts w:ascii="Arial" w:cs="Arial" w:eastAsia="Arial" w:hAnsi="Arial"/>
          <w:sz w:val="22"/>
          <w:szCs w:val="22"/>
        </w:rPr>
        <w:t xml:space="preserve">8. Counter-current flow: hot fluid and cold fluid flow in opposite directions; higher LMTD; cold fluid can theoretically approach hot fluid inlet temperature. Standard design for pharmaceutical heat exchangers.</w:t>
      </w:r>
    </w:p>
    <w:p>
      <w:pPr>
        <w:shd w:fill="E2EFDA" w:val="clear"/>
        <w:spacing w:after="80" w:before="80"/>
        <w:jc w:val="both"/>
      </w:pPr>
      <w:r>
        <w:rPr>
          <w:rFonts w:ascii="Arial" w:cs="Arial" w:eastAsia="Arial" w:hAnsi="Arial"/>
          <w:sz w:val="22"/>
          <w:szCs w:val="22"/>
        </w:rPr>
        <w:t xml:space="preserve">9. Fouling types: Biological (biofilm in WFI systems); Chemical reaction (caramelisation, protein deposits); Crystallisation/scaling (calcium carbonate); Particulate (API crystals). Regular CIP essential.</w:t>
      </w:r>
    </w:p>
    <w:p>
      <w:pPr>
        <w:shd w:fill="E2EFDA" w:val="clear"/>
        <w:spacing w:after="80" w:before="80"/>
        <w:jc w:val="both"/>
      </w:pPr>
      <w:r>
        <w:rPr>
          <w:rFonts w:ascii="Arial" w:cs="Arial" w:eastAsia="Arial" w:hAnsi="Arial"/>
          <w:sz w:val="22"/>
          <w:szCs w:val="22"/>
        </w:rPr>
        <w:t xml:space="preserve">10. U values (W/m²K): Shell-and-tube liquid-liquid: 600–2500; PHE liquid-liquid: 1500–5000; Jacketed vessel: 200–600; Condensing steam in tube: 2000–5000.</w:t>
      </w:r>
    </w:p>
    <w:p>
      <w:pPr>
        <w:shd w:fill="E2EFDA" w:val="clear"/>
        <w:spacing w:after="80" w:before="80"/>
        <w:jc w:val="both"/>
      </w:pPr>
      <w:r>
        <w:rPr>
          <w:rFonts w:ascii="Arial" w:cs="Arial" w:eastAsia="Arial" w:hAnsi="Arial"/>
          <w:sz w:val="22"/>
          <w:szCs w:val="22"/>
        </w:rPr>
        <w:t xml:space="preserve">11. Pharmaceutical heat exchangers must be designed for CIP compatibility — no dead legs; smooth surfaces (Ra &lt; 0.8 µm); SS 316L product contact; sanitary connections (tri-clamp fittings).</w:t>
      </w:r>
    </w:p>
    <w:p>
      <w:pPr>
        <w:shd w:fill="E2EFDA" w:val="clear"/>
        <w:spacing w:after="80" w:before="80"/>
        <w:jc w:val="both"/>
      </w:pPr>
      <w:r>
        <w:rPr>
          <w:rFonts w:ascii="Arial" w:cs="Arial" w:eastAsia="Arial" w:hAnsi="Arial"/>
          <w:sz w:val="22"/>
          <w:szCs w:val="22"/>
        </w:rPr>
        <w:t xml:space="preserve">12. Worked example: A = Q / (U × LMTD). Steps: calculate Q from mass flow and ΔT; calculate LMTD from terminal temperatures; calculate A; add safety factor (typically 20%).</w:t>
      </w:r>
    </w:p>
    <w:p>
      <w:pPr>
        <w:spacing w:after="60" w:before="60"/>
      </w:pPr>
      <w:r>
        <w:t xml:space="preserve"/>
      </w:r>
    </w:p>
    <w:p>
      <w:pPr>
        <w:pStyle w:val="Heading2"/>
        <w:spacing w:after="150" w:before="300"/>
      </w:pPr>
      <w:r>
        <w:rPr>
          <w:rFonts w:ascii="Arial" w:cs="Arial" w:eastAsia="Arial" w:hAnsi="Arial"/>
          <w:b/>
          <w:bCs/>
          <w:color w:val="1F4E79"/>
          <w:sz w:val="26"/>
          <w:szCs w:val="26"/>
        </w:rPr>
        <w:t xml:space="preserve">Multiple Choice Questions — Chapter 11</w:t>
      </w:r>
    </w:p>
    <w:p>
      <w:pPr>
        <w:spacing w:after="80" w:before="80"/>
        <w:jc w:val="both"/>
      </w:pPr>
      <w:r>
        <w:rPr>
          <w:rFonts w:ascii="Arial" w:cs="Arial" w:eastAsia="Arial" w:hAnsi="Arial"/>
          <w:sz w:val="22"/>
          <w:szCs w:val="22"/>
        </w:rPr>
        <w:t xml:space="preserve">(15 Questions — 1 mark each)</w:t>
      </w:r>
    </w:p>
    <w:p>
      <w:pPr>
        <w:spacing w:after="60" w:before="60"/>
      </w:pPr>
      <w:r>
        <w:t xml:space="preserve"/>
      </w:r>
    </w:p>
    <w:p>
      <w:pPr>
        <w:spacing w:after="80" w:before="80"/>
        <w:jc w:val="both"/>
      </w:pPr>
      <w:r>
        <w:rPr>
          <w:rFonts w:ascii="Arial" w:cs="Arial" w:eastAsia="Arial" w:hAnsi="Arial"/>
          <w:b/>
          <w:bCs/>
          <w:sz w:val="22"/>
          <w:szCs w:val="22"/>
        </w:rPr>
        <w:t xml:space="preserve">Q1. Fourier's Law of heat conduction states that heat flux is:</w:t>
      </w:r>
    </w:p>
    <w:p>
      <w:pPr>
        <w:pStyle w:val="ListParagraph"/>
        <w:numPr>
          <w:ilvl w:val="0"/>
          <w:numId w:val="2"/>
        </w:numPr>
        <w:spacing w:after="60" w:before="60"/>
      </w:pPr>
      <w:r>
        <w:rPr>
          <w:rFonts w:ascii="Arial" w:cs="Arial" w:eastAsia="Arial" w:hAnsi="Arial"/>
          <w:sz w:val="22"/>
          <w:szCs w:val="22"/>
        </w:rPr>
        <w:t xml:space="preserve">(A) Proportional to the temperature of the surface</w:t>
      </w:r>
    </w:p>
    <w:p>
      <w:pPr>
        <w:pStyle w:val="ListParagraph"/>
        <w:numPr>
          <w:ilvl w:val="0"/>
          <w:numId w:val="2"/>
        </w:numPr>
        <w:spacing w:after="60" w:before="60"/>
      </w:pPr>
      <w:r>
        <w:rPr>
          <w:rFonts w:ascii="Arial" w:cs="Arial" w:eastAsia="Arial" w:hAnsi="Arial"/>
          <w:sz w:val="22"/>
          <w:szCs w:val="22"/>
        </w:rPr>
        <w:t xml:space="preserve">(B) Proportional to the temperature gradient (dT/dx) and thermal conductivity k — q = −k A (dT/dx)</w:t>
      </w:r>
    </w:p>
    <w:p>
      <w:pPr>
        <w:pStyle w:val="ListParagraph"/>
        <w:numPr>
          <w:ilvl w:val="0"/>
          <w:numId w:val="2"/>
        </w:numPr>
        <w:spacing w:after="60" w:before="60"/>
      </w:pPr>
      <w:r>
        <w:rPr>
          <w:rFonts w:ascii="Arial" w:cs="Arial" w:eastAsia="Arial" w:hAnsi="Arial"/>
          <w:sz w:val="22"/>
          <w:szCs w:val="22"/>
        </w:rPr>
        <w:t xml:space="preserve">(C) Independent of the material's thermal conductivity</w:t>
      </w:r>
    </w:p>
    <w:p>
      <w:pPr>
        <w:pStyle w:val="ListParagraph"/>
        <w:numPr>
          <w:ilvl w:val="0"/>
          <w:numId w:val="2"/>
        </w:numPr>
        <w:spacing w:after="60" w:before="60"/>
      </w:pPr>
      <w:r>
        <w:rPr>
          <w:rFonts w:ascii="Arial" w:cs="Arial" w:eastAsia="Arial" w:hAnsi="Arial"/>
          <w:sz w:val="22"/>
          <w:szCs w:val="22"/>
        </w:rPr>
        <w:t xml:space="preserve">(D) Proportional to the fourth power of temperature difference</w:t>
      </w:r>
    </w:p>
    <w:p>
      <w:pPr>
        <w:spacing w:after="80" w:before="80"/>
        <w:jc w:val="both"/>
      </w:pPr>
      <w:r>
        <w:rPr>
          <w:rFonts w:ascii="Arial" w:cs="Arial" w:eastAsia="Arial" w:hAnsi="Arial"/>
          <w:sz w:val="22"/>
          <w:szCs w:val="22"/>
        </w:rPr>
        <w:t xml:space="preserve">Answer: (B) | Fourier's Law: q = −k A (dT/dx). The negative sign indicates heat flows from hot to cold (opposite to temperature gradient). k = thermal conductivity (W/mK) — higher k = better conductor. For SS 316L: k ≈ 15 W/mK; for copper: k ≈ 400 W/mK; for insulating material: k ≈ 0.04 W/mK.</w:t>
      </w:r>
    </w:p>
    <w:p>
      <w:pPr>
        <w:spacing w:after="60" w:before="60"/>
      </w:pPr>
      <w:r>
        <w:t xml:space="preserve"/>
      </w:r>
    </w:p>
    <w:p>
      <w:pPr>
        <w:spacing w:after="80" w:before="80"/>
        <w:jc w:val="both"/>
      </w:pPr>
      <w:r>
        <w:rPr>
          <w:rFonts w:ascii="Arial" w:cs="Arial" w:eastAsia="Arial" w:hAnsi="Arial"/>
          <w:b/>
          <w:bCs/>
          <w:sz w:val="22"/>
          <w:szCs w:val="22"/>
        </w:rPr>
        <w:t xml:space="preserve">Q2. The overall heat transfer coefficient U in a fouled heat exchanger is LOWER than in a clean exchanger because:</w:t>
      </w:r>
    </w:p>
    <w:p>
      <w:pPr>
        <w:pStyle w:val="ListParagraph"/>
        <w:numPr>
          <w:ilvl w:val="0"/>
          <w:numId w:val="2"/>
        </w:numPr>
        <w:spacing w:after="60" w:before="60"/>
      </w:pPr>
      <w:r>
        <w:rPr>
          <w:rFonts w:ascii="Arial" w:cs="Arial" w:eastAsia="Arial" w:hAnsi="Arial"/>
          <w:sz w:val="22"/>
          <w:szCs w:val="22"/>
        </w:rPr>
        <w:t xml:space="preserve">(A) Fouling increases fluid velocity, creating more turbulence and pressure drop</w:t>
      </w:r>
    </w:p>
    <w:p>
      <w:pPr>
        <w:pStyle w:val="ListParagraph"/>
        <w:numPr>
          <w:ilvl w:val="0"/>
          <w:numId w:val="2"/>
        </w:numPr>
        <w:spacing w:after="60" w:before="60"/>
      </w:pPr>
      <w:r>
        <w:rPr>
          <w:rFonts w:ascii="Arial" w:cs="Arial" w:eastAsia="Arial" w:hAnsi="Arial"/>
          <w:sz w:val="22"/>
          <w:szCs w:val="22"/>
        </w:rPr>
        <w:t xml:space="preserve">(B) Fouling deposits add additional thermal resistances in series with the metal wall and fluid film resistances — 1/U = 1/h_i + R_fi + Δx/k + R_fo + 1/h_o</w:t>
      </w:r>
    </w:p>
    <w:p>
      <w:pPr>
        <w:pStyle w:val="ListParagraph"/>
        <w:numPr>
          <w:ilvl w:val="0"/>
          <w:numId w:val="2"/>
        </w:numPr>
        <w:spacing w:after="60" w:before="60"/>
      </w:pPr>
      <w:r>
        <w:rPr>
          <w:rFonts w:ascii="Arial" w:cs="Arial" w:eastAsia="Arial" w:hAnsi="Arial"/>
          <w:sz w:val="22"/>
          <w:szCs w:val="22"/>
        </w:rPr>
        <w:t xml:space="preserve">(C) Fouling changes the flow pattern from counter-current to co-current</w:t>
      </w:r>
    </w:p>
    <w:p>
      <w:pPr>
        <w:pStyle w:val="ListParagraph"/>
        <w:numPr>
          <w:ilvl w:val="0"/>
          <w:numId w:val="2"/>
        </w:numPr>
        <w:spacing w:after="60" w:before="60"/>
      </w:pPr>
      <w:r>
        <w:rPr>
          <w:rFonts w:ascii="Arial" w:cs="Arial" w:eastAsia="Arial" w:hAnsi="Arial"/>
          <w:sz w:val="22"/>
          <w:szCs w:val="22"/>
        </w:rPr>
        <w:t xml:space="preserve">(D) Fouling increases the log mean temperature difference</w:t>
      </w:r>
    </w:p>
    <w:p>
      <w:pPr>
        <w:spacing w:after="80" w:before="80"/>
        <w:jc w:val="both"/>
      </w:pPr>
      <w:r>
        <w:rPr>
          <w:rFonts w:ascii="Arial" w:cs="Arial" w:eastAsia="Arial" w:hAnsi="Arial"/>
          <w:sz w:val="22"/>
          <w:szCs w:val="22"/>
        </w:rPr>
        <w:t xml:space="preserve">Answer: (B) | Each resistance in the series sum reduces U. Fouling resistance R_f (m²K/W) for pharmaceutical liquids is typically 0.0002–0.0005 m²K/W. For a clean exchanger with U = 1000 W/m²K, adding fouling resistance of 0.0005 (both sides) gives 1/U_fouled = 1/1000 + 0.0005 + 0.0005 = 0.001 + 0.001 = 0.002 → U_fouled = 500 W/m²K — 50% reduction from clean value.</w:t>
      </w:r>
    </w:p>
    <w:p>
      <w:pPr>
        <w:spacing w:after="60" w:before="60"/>
      </w:pPr>
      <w:r>
        <w:t xml:space="preserve"/>
      </w:r>
    </w:p>
    <w:p>
      <w:pPr>
        <w:spacing w:after="80" w:before="80"/>
        <w:jc w:val="both"/>
      </w:pPr>
      <w:r>
        <w:rPr>
          <w:rFonts w:ascii="Arial" w:cs="Arial" w:eastAsia="Arial" w:hAnsi="Arial"/>
          <w:b/>
          <w:bCs/>
          <w:sz w:val="22"/>
          <w:szCs w:val="22"/>
        </w:rPr>
        <w:t xml:space="preserve">Q3. Counter-current flow in a heat exchanger is preferred over co-current because:</w:t>
      </w:r>
    </w:p>
    <w:p>
      <w:pPr>
        <w:pStyle w:val="ListParagraph"/>
        <w:numPr>
          <w:ilvl w:val="0"/>
          <w:numId w:val="2"/>
        </w:numPr>
        <w:spacing w:after="60" w:before="60"/>
      </w:pPr>
      <w:r>
        <w:rPr>
          <w:rFonts w:ascii="Arial" w:cs="Arial" w:eastAsia="Arial" w:hAnsi="Arial"/>
          <w:sz w:val="22"/>
          <w:szCs w:val="22"/>
        </w:rPr>
        <w:t xml:space="preserve">(A) Counter-current is safer — fluids cannot mix if there is a leak</w:t>
      </w:r>
    </w:p>
    <w:p>
      <w:pPr>
        <w:pStyle w:val="ListParagraph"/>
        <w:numPr>
          <w:ilvl w:val="0"/>
          <w:numId w:val="2"/>
        </w:numPr>
        <w:spacing w:after="60" w:before="60"/>
      </w:pPr>
      <w:r>
        <w:rPr>
          <w:rFonts w:ascii="Arial" w:cs="Arial" w:eastAsia="Arial" w:hAnsi="Arial"/>
          <w:sz w:val="22"/>
          <w:szCs w:val="22"/>
        </w:rPr>
        <w:t xml:space="preserve">(B) Counter-current gives a higher LMTD (larger temperature driving force) for the same inlet and outlet temperatures — requiring less heat transfer area for the same duty</w:t>
      </w:r>
    </w:p>
    <w:p>
      <w:pPr>
        <w:pStyle w:val="ListParagraph"/>
        <w:numPr>
          <w:ilvl w:val="0"/>
          <w:numId w:val="2"/>
        </w:numPr>
        <w:spacing w:after="60" w:before="60"/>
      </w:pPr>
      <w:r>
        <w:rPr>
          <w:rFonts w:ascii="Arial" w:cs="Arial" w:eastAsia="Arial" w:hAnsi="Arial"/>
          <w:sz w:val="22"/>
          <w:szCs w:val="22"/>
        </w:rPr>
        <w:t xml:space="preserve">(C) Counter-current requires less pumping energy</w:t>
      </w:r>
    </w:p>
    <w:p>
      <w:pPr>
        <w:pStyle w:val="ListParagraph"/>
        <w:numPr>
          <w:ilvl w:val="0"/>
          <w:numId w:val="2"/>
        </w:numPr>
        <w:spacing w:after="60" w:before="60"/>
      </w:pPr>
      <w:r>
        <w:rPr>
          <w:rFonts w:ascii="Arial" w:cs="Arial" w:eastAsia="Arial" w:hAnsi="Arial"/>
          <w:sz w:val="22"/>
          <w:szCs w:val="22"/>
        </w:rPr>
        <w:t xml:space="preserve">(D) Counter-current flow allows the use of thicker tube walls for safety</w:t>
      </w:r>
    </w:p>
    <w:p>
      <w:pPr>
        <w:spacing w:after="80" w:before="80"/>
        <w:jc w:val="both"/>
      </w:pPr>
      <w:r>
        <w:rPr>
          <w:rFonts w:ascii="Arial" w:cs="Arial" w:eastAsia="Arial" w:hAnsi="Arial"/>
          <w:sz w:val="22"/>
          <w:szCs w:val="22"/>
        </w:rPr>
        <w:t xml:space="preserve">Answer: (B) | For the same inlet/outlet temperatures, counter-current flow maintains a more uniform temperature difference along the exchanger length → higher LMTD. Co-current flow has the maximum ΔT at the inlet end and minimum at the outlet — lower average ΔT → lower LMTD. Higher LMTD means smaller area required for same duty — lower capital cost.</w:t>
      </w:r>
    </w:p>
    <w:p>
      <w:pPr>
        <w:spacing w:after="60" w:before="60"/>
      </w:pPr>
      <w:r>
        <w:t xml:space="preserve"/>
      </w:r>
    </w:p>
    <w:p>
      <w:pPr>
        <w:spacing w:after="80" w:before="80"/>
        <w:jc w:val="both"/>
      </w:pPr>
      <w:r>
        <w:rPr>
          <w:rFonts w:ascii="Arial" w:cs="Arial" w:eastAsia="Arial" w:hAnsi="Arial"/>
          <w:b/>
          <w:bCs/>
          <w:sz w:val="22"/>
          <w:szCs w:val="22"/>
        </w:rPr>
        <w:t xml:space="preserve">Q4. In a pharmaceutical plate heat exchanger (PHE), the corrugated (herringbone) plate surface serves to:</w:t>
      </w:r>
    </w:p>
    <w:p>
      <w:pPr>
        <w:pStyle w:val="ListParagraph"/>
        <w:numPr>
          <w:ilvl w:val="0"/>
          <w:numId w:val="2"/>
        </w:numPr>
        <w:spacing w:after="60" w:before="60"/>
      </w:pPr>
      <w:r>
        <w:rPr>
          <w:rFonts w:ascii="Arial" w:cs="Arial" w:eastAsia="Arial" w:hAnsi="Arial"/>
          <w:sz w:val="22"/>
          <w:szCs w:val="22"/>
        </w:rPr>
        <w:t xml:space="preserve">(A) Increase the visual appearance for GMP inspection</w:t>
      </w:r>
    </w:p>
    <w:p>
      <w:pPr>
        <w:pStyle w:val="ListParagraph"/>
        <w:numPr>
          <w:ilvl w:val="0"/>
          <w:numId w:val="2"/>
        </w:numPr>
        <w:spacing w:after="60" w:before="60"/>
      </w:pPr>
      <w:r>
        <w:rPr>
          <w:rFonts w:ascii="Arial" w:cs="Arial" w:eastAsia="Arial" w:hAnsi="Arial"/>
          <w:sz w:val="22"/>
          <w:szCs w:val="22"/>
        </w:rPr>
        <w:t xml:space="preserve">(B) Increase turbulence even at low flow rates (high h), increase effective surface area, and provide structural support between adjacent plates — enabling thin plate material</w:t>
      </w:r>
    </w:p>
    <w:p>
      <w:pPr>
        <w:pStyle w:val="ListParagraph"/>
        <w:numPr>
          <w:ilvl w:val="0"/>
          <w:numId w:val="2"/>
        </w:numPr>
        <w:spacing w:after="60" w:before="60"/>
      </w:pPr>
      <w:r>
        <w:rPr>
          <w:rFonts w:ascii="Arial" w:cs="Arial" w:eastAsia="Arial" w:hAnsi="Arial"/>
          <w:sz w:val="22"/>
          <w:szCs w:val="22"/>
        </w:rPr>
        <w:t xml:space="preserve">(C) Filter particles from the process fluid</w:t>
      </w:r>
    </w:p>
    <w:p>
      <w:pPr>
        <w:pStyle w:val="ListParagraph"/>
        <w:numPr>
          <w:ilvl w:val="0"/>
          <w:numId w:val="2"/>
        </w:numPr>
        <w:spacing w:after="60" w:before="60"/>
      </w:pPr>
      <w:r>
        <w:rPr>
          <w:rFonts w:ascii="Arial" w:cs="Arial" w:eastAsia="Arial" w:hAnsi="Arial"/>
          <w:sz w:val="22"/>
          <w:szCs w:val="22"/>
        </w:rPr>
        <w:t xml:space="preserve">(D) Act as a flow meter for measuring fluid velocity</w:t>
      </w:r>
    </w:p>
    <w:p>
      <w:pPr>
        <w:spacing w:after="80" w:before="80"/>
        <w:jc w:val="both"/>
      </w:pPr>
      <w:r>
        <w:rPr>
          <w:rFonts w:ascii="Arial" w:cs="Arial" w:eastAsia="Arial" w:hAnsi="Arial"/>
          <w:sz w:val="22"/>
          <w:szCs w:val="22"/>
        </w:rPr>
        <w:t xml:space="preserve">Answer: (B) | The herringbone (chevron) corrugation pattern on PHE plates creates three beneficial effects simultaneously: (1) turbulence — the complex flow path creates turbulent mixing even at low Re → high h values (1500–5000 W/m²K); (2) surface area — corrugations increase actual surface area by 20–30% vs flat plate; (3) structural support — corrugations provide many contact points between adjacent plates, allowing 0.5 mm thin plates to withstand system pressure.</w:t>
      </w:r>
    </w:p>
    <w:p>
      <w:pPr>
        <w:spacing w:after="60" w:before="60"/>
      </w:pPr>
      <w:r>
        <w:t xml:space="preserve"/>
      </w:r>
    </w:p>
    <w:p>
      <w:pPr>
        <w:spacing w:after="80" w:before="80"/>
        <w:jc w:val="both"/>
      </w:pPr>
      <w:r>
        <w:rPr>
          <w:rFonts w:ascii="Arial" w:cs="Arial" w:eastAsia="Arial" w:hAnsi="Arial"/>
          <w:b/>
          <w:bCs/>
          <w:sz w:val="22"/>
          <w:szCs w:val="22"/>
        </w:rPr>
        <w:t xml:space="preserve">Q5. Newton's Law of Cooling applies to:</w:t>
      </w:r>
    </w:p>
    <w:p>
      <w:pPr>
        <w:pStyle w:val="ListParagraph"/>
        <w:numPr>
          <w:ilvl w:val="0"/>
          <w:numId w:val="2"/>
        </w:numPr>
        <w:spacing w:after="60" w:before="60"/>
      </w:pPr>
      <w:r>
        <w:rPr>
          <w:rFonts w:ascii="Arial" w:cs="Arial" w:eastAsia="Arial" w:hAnsi="Arial"/>
          <w:sz w:val="22"/>
          <w:szCs w:val="22"/>
        </w:rPr>
        <w:t xml:space="preserve">(A) Conduction through solid walls</w:t>
      </w:r>
    </w:p>
    <w:p>
      <w:pPr>
        <w:pStyle w:val="ListParagraph"/>
        <w:numPr>
          <w:ilvl w:val="0"/>
          <w:numId w:val="2"/>
        </w:numPr>
        <w:spacing w:after="60" w:before="60"/>
      </w:pPr>
      <w:r>
        <w:rPr>
          <w:rFonts w:ascii="Arial" w:cs="Arial" w:eastAsia="Arial" w:hAnsi="Arial"/>
          <w:sz w:val="22"/>
          <w:szCs w:val="22"/>
        </w:rPr>
        <w:t xml:space="preserve">(B) Convective heat transfer between a solid surface and a moving fluid — q = h × A × (T_surface − T_fluid)</w:t>
      </w:r>
    </w:p>
    <w:p>
      <w:pPr>
        <w:pStyle w:val="ListParagraph"/>
        <w:numPr>
          <w:ilvl w:val="0"/>
          <w:numId w:val="2"/>
        </w:numPr>
        <w:spacing w:after="60" w:before="60"/>
      </w:pPr>
      <w:r>
        <w:rPr>
          <w:rFonts w:ascii="Arial" w:cs="Arial" w:eastAsia="Arial" w:hAnsi="Arial"/>
          <w:sz w:val="22"/>
          <w:szCs w:val="22"/>
        </w:rPr>
        <w:t xml:space="preserve">(C) Radiation heat transfer between two surfaces</w:t>
      </w:r>
    </w:p>
    <w:p>
      <w:pPr>
        <w:pStyle w:val="ListParagraph"/>
        <w:numPr>
          <w:ilvl w:val="0"/>
          <w:numId w:val="2"/>
        </w:numPr>
        <w:spacing w:after="60" w:before="60"/>
      </w:pPr>
      <w:r>
        <w:rPr>
          <w:rFonts w:ascii="Arial" w:cs="Arial" w:eastAsia="Arial" w:hAnsi="Arial"/>
          <w:sz w:val="22"/>
          <w:szCs w:val="22"/>
        </w:rPr>
        <w:t xml:space="preserve">(D) Evaporation of liquids at a surface</w:t>
      </w:r>
    </w:p>
    <w:p>
      <w:pPr>
        <w:spacing w:after="80" w:before="80"/>
        <w:jc w:val="both"/>
      </w:pPr>
      <w:r>
        <w:rPr>
          <w:rFonts w:ascii="Arial" w:cs="Arial" w:eastAsia="Arial" w:hAnsi="Arial"/>
          <w:sz w:val="22"/>
          <w:szCs w:val="22"/>
        </w:rPr>
        <w:t xml:space="preserve">Answer: (B) | Newton's Law of Cooling: q = h A (T_s − T_f). h = convective heat transfer coefficient (W/m²K) — depends on fluid properties and flow regime. h for water in turbulent flow: 3000–10,000 W/m²K; steam condensing: 6,000–15,000 W/m²K; still air: 5–25 W/m²K; agitated liquid: 500–3000 W/m²K.</w:t>
      </w:r>
    </w:p>
    <w:p>
      <w:pPr>
        <w:spacing w:after="60" w:before="60"/>
      </w:pPr>
      <w:r>
        <w:t xml:space="preserve"/>
      </w:r>
    </w:p>
    <w:p>
      <w:pPr>
        <w:spacing w:after="80" w:before="80"/>
        <w:jc w:val="both"/>
      </w:pPr>
      <w:r>
        <w:rPr>
          <w:rFonts w:ascii="Arial" w:cs="Arial" w:eastAsia="Arial" w:hAnsi="Arial"/>
          <w:b/>
          <w:bCs/>
          <w:sz w:val="22"/>
          <w:szCs w:val="22"/>
        </w:rPr>
        <w:t xml:space="preserve">Q6. The Log Mean Temperature Difference (LMTD) formula LMTD = (ΔT₁ − ΔT₂) / ln(ΔT₁/ΔT₂) is used because:</w:t>
      </w:r>
    </w:p>
    <w:p>
      <w:pPr>
        <w:pStyle w:val="ListParagraph"/>
        <w:numPr>
          <w:ilvl w:val="0"/>
          <w:numId w:val="2"/>
        </w:numPr>
        <w:spacing w:after="60" w:before="60"/>
      </w:pPr>
      <w:r>
        <w:rPr>
          <w:rFonts w:ascii="Arial" w:cs="Arial" w:eastAsia="Arial" w:hAnsi="Arial"/>
          <w:sz w:val="22"/>
          <w:szCs w:val="22"/>
        </w:rPr>
        <w:t xml:space="preserve">(A) The arithmetic mean temperature difference gives a less accurate result for heat transfer</w:t>
      </w:r>
    </w:p>
    <w:p>
      <w:pPr>
        <w:pStyle w:val="ListParagraph"/>
        <w:numPr>
          <w:ilvl w:val="0"/>
          <w:numId w:val="2"/>
        </w:numPr>
        <w:spacing w:after="60" w:before="60"/>
      </w:pPr>
      <w:r>
        <w:rPr>
          <w:rFonts w:ascii="Arial" w:cs="Arial" w:eastAsia="Arial" w:hAnsi="Arial"/>
          <w:sz w:val="22"/>
          <w:szCs w:val="22"/>
        </w:rPr>
        <w:t xml:space="preserve">(B) The temperature difference between hot and cold fluids varies along the exchanger length — LMTD is the thermodynamically correct mean driving force that gives the correct integrated heat transfer over the exchanger</w:t>
      </w:r>
    </w:p>
    <w:p>
      <w:pPr>
        <w:pStyle w:val="ListParagraph"/>
        <w:numPr>
          <w:ilvl w:val="0"/>
          <w:numId w:val="2"/>
        </w:numPr>
        <w:spacing w:after="60" w:before="60"/>
      </w:pPr>
      <w:r>
        <w:rPr>
          <w:rFonts w:ascii="Arial" w:cs="Arial" w:eastAsia="Arial" w:hAnsi="Arial"/>
          <w:sz w:val="22"/>
          <w:szCs w:val="22"/>
        </w:rPr>
        <w:t xml:space="preserve">(C) LMTD is simpler to calculate than arithmetic mean</w:t>
      </w:r>
    </w:p>
    <w:p>
      <w:pPr>
        <w:pStyle w:val="ListParagraph"/>
        <w:numPr>
          <w:ilvl w:val="0"/>
          <w:numId w:val="2"/>
        </w:numPr>
        <w:spacing w:after="60" w:before="60"/>
      </w:pPr>
      <w:r>
        <w:rPr>
          <w:rFonts w:ascii="Arial" w:cs="Arial" w:eastAsia="Arial" w:hAnsi="Arial"/>
          <w:sz w:val="22"/>
          <w:szCs w:val="22"/>
        </w:rPr>
        <w:t xml:space="preserve">(D) LMTD is required only for shell-and-tube exchangers, not PHE</w:t>
      </w:r>
    </w:p>
    <w:p>
      <w:pPr>
        <w:spacing w:after="80" w:before="80"/>
        <w:jc w:val="both"/>
      </w:pPr>
      <w:r>
        <w:rPr>
          <w:rFonts w:ascii="Arial" w:cs="Arial" w:eastAsia="Arial" w:hAnsi="Arial"/>
          <w:sz w:val="22"/>
          <w:szCs w:val="22"/>
        </w:rPr>
        <w:t xml:space="preserve">Answer: (B) | Along the length of a counter-current exchanger, the temperature of both fluids changes — so ΔT varies from ΔT₁ at one end to ΔT₂ at the other. The LMTD is the integrated mean ΔT that, when multiplied by U and A, correctly gives total heat transferred. Simple arithmetic mean ((ΔT₁+ΔT₂)/2) overestimates the driving force, leading to undersized exchangers.</w:t>
      </w:r>
    </w:p>
    <w:p>
      <w:pPr>
        <w:spacing w:after="60" w:before="60"/>
      </w:pPr>
      <w:r>
        <w:t xml:space="preserve"/>
      </w:r>
    </w:p>
    <w:p>
      <w:pPr>
        <w:spacing w:after="80" w:before="80"/>
        <w:jc w:val="both"/>
      </w:pPr>
      <w:r>
        <w:rPr>
          <w:rFonts w:ascii="Arial" w:cs="Arial" w:eastAsia="Arial" w:hAnsi="Arial"/>
          <w:b/>
          <w:bCs/>
          <w:sz w:val="22"/>
          <w:szCs w:val="22"/>
        </w:rPr>
        <w:t xml:space="preserve">Q7. Radiation heat transfer is only significant in pharmaceutical manufacturing at:</w:t>
      </w:r>
    </w:p>
    <w:p>
      <w:pPr>
        <w:pStyle w:val="ListParagraph"/>
        <w:numPr>
          <w:ilvl w:val="0"/>
          <w:numId w:val="2"/>
        </w:numPr>
        <w:spacing w:after="60" w:before="60"/>
      </w:pPr>
      <w:r>
        <w:rPr>
          <w:rFonts w:ascii="Arial" w:cs="Arial" w:eastAsia="Arial" w:hAnsi="Arial"/>
          <w:sz w:val="22"/>
          <w:szCs w:val="22"/>
        </w:rPr>
        <w:t xml:space="preserve">(A) Ambient temperatures — room-temperature mixing vessels</w:t>
      </w:r>
    </w:p>
    <w:p>
      <w:pPr>
        <w:pStyle w:val="ListParagraph"/>
        <w:numPr>
          <w:ilvl w:val="0"/>
          <w:numId w:val="2"/>
        </w:numPr>
        <w:spacing w:after="60" w:before="60"/>
      </w:pPr>
      <w:r>
        <w:rPr>
          <w:rFonts w:ascii="Arial" w:cs="Arial" w:eastAsia="Arial" w:hAnsi="Arial"/>
          <w:sz w:val="22"/>
          <w:szCs w:val="22"/>
        </w:rPr>
        <w:t xml:space="preserve">(B) Very high temperatures — dry heat sterilisation ovens (160–250°C), infrared drying equipment — where T⁴ term in Stefan-Boltzmann law becomes significant</w:t>
      </w:r>
    </w:p>
    <w:p>
      <w:pPr>
        <w:pStyle w:val="ListParagraph"/>
        <w:numPr>
          <w:ilvl w:val="0"/>
          <w:numId w:val="2"/>
        </w:numPr>
        <w:spacing w:after="60" w:before="60"/>
      </w:pPr>
      <w:r>
        <w:rPr>
          <w:rFonts w:ascii="Arial" w:cs="Arial" w:eastAsia="Arial" w:hAnsi="Arial"/>
          <w:sz w:val="22"/>
          <w:szCs w:val="22"/>
        </w:rPr>
        <w:t xml:space="preserve">(C) Any temperature — radiation is always the dominant mode</w:t>
      </w:r>
    </w:p>
    <w:p>
      <w:pPr>
        <w:pStyle w:val="ListParagraph"/>
        <w:numPr>
          <w:ilvl w:val="0"/>
          <w:numId w:val="2"/>
        </w:numPr>
        <w:spacing w:after="60" w:before="60"/>
      </w:pPr>
      <w:r>
        <w:rPr>
          <w:rFonts w:ascii="Arial" w:cs="Arial" w:eastAsia="Arial" w:hAnsi="Arial"/>
          <w:sz w:val="22"/>
          <w:szCs w:val="22"/>
        </w:rPr>
        <w:t xml:space="preserve">(D) Cryogenic temperatures — freeze drying and cold storage</w:t>
      </w:r>
    </w:p>
    <w:p>
      <w:pPr>
        <w:spacing w:after="80" w:before="80"/>
        <w:jc w:val="both"/>
      </w:pPr>
      <w:r>
        <w:rPr>
          <w:rFonts w:ascii="Arial" w:cs="Arial" w:eastAsia="Arial" w:hAnsi="Arial"/>
          <w:sz w:val="22"/>
          <w:szCs w:val="22"/>
        </w:rPr>
        <w:t xml:space="preserve">Answer: (B) | Radiation: q ∝ T⁴. At 100°C (373K), T⁴ = 1.94 × 10¹⁰; at 200°C (473K), T⁴ = 5.01 × 10¹⁰ — a 2.6-fold increase. Below 150°C, radiation is typically &lt; 5% of total heat transfer. Above 200°C (dry heat sterilisation ovens, infrared drying lamps), radiation becomes the dominant mode. For most pharmaceutical processing (&lt; 130°C), radiation is negligible.</w:t>
      </w:r>
    </w:p>
    <w:p>
      <w:pPr>
        <w:spacing w:after="60" w:before="60"/>
      </w:pPr>
      <w:r>
        <w:t xml:space="preserve"/>
      </w:r>
    </w:p>
    <w:p>
      <w:pPr>
        <w:spacing w:after="80" w:before="80"/>
        <w:jc w:val="both"/>
      </w:pPr>
      <w:r>
        <w:rPr>
          <w:rFonts w:ascii="Arial" w:cs="Arial" w:eastAsia="Arial" w:hAnsi="Arial"/>
          <w:b/>
          <w:bCs/>
          <w:sz w:val="22"/>
          <w:szCs w:val="22"/>
        </w:rPr>
        <w:t xml:space="preserve">Q8. A heat exchanger with U = 800 W/m²K, LMTD = 40°C, and required duty Q = 50 kW requires heat transfer area:</w:t>
      </w:r>
    </w:p>
    <w:p>
      <w:pPr>
        <w:pStyle w:val="ListParagraph"/>
        <w:numPr>
          <w:ilvl w:val="0"/>
          <w:numId w:val="2"/>
        </w:numPr>
        <w:spacing w:after="60" w:before="60"/>
      </w:pPr>
      <w:r>
        <w:rPr>
          <w:rFonts w:ascii="Arial" w:cs="Arial" w:eastAsia="Arial" w:hAnsi="Arial"/>
          <w:sz w:val="22"/>
          <w:szCs w:val="22"/>
        </w:rPr>
        <w:t xml:space="preserve">(A) 0.78 m²</w:t>
      </w:r>
    </w:p>
    <w:p>
      <w:pPr>
        <w:pStyle w:val="ListParagraph"/>
        <w:numPr>
          <w:ilvl w:val="0"/>
          <w:numId w:val="2"/>
        </w:numPr>
        <w:spacing w:after="60" w:before="60"/>
      </w:pPr>
      <w:r>
        <w:rPr>
          <w:rFonts w:ascii="Arial" w:cs="Arial" w:eastAsia="Arial" w:hAnsi="Arial"/>
          <w:sz w:val="22"/>
          <w:szCs w:val="22"/>
        </w:rPr>
        <w:t xml:space="preserve">(B) 1.56 m²</w:t>
      </w:r>
    </w:p>
    <w:p>
      <w:pPr>
        <w:pStyle w:val="ListParagraph"/>
        <w:numPr>
          <w:ilvl w:val="0"/>
          <w:numId w:val="2"/>
        </w:numPr>
        <w:spacing w:after="60" w:before="60"/>
      </w:pPr>
      <w:r>
        <w:rPr>
          <w:rFonts w:ascii="Arial" w:cs="Arial" w:eastAsia="Arial" w:hAnsi="Arial"/>
          <w:sz w:val="22"/>
          <w:szCs w:val="22"/>
        </w:rPr>
        <w:t xml:space="preserve">(C) 3.12 m²</w:t>
      </w:r>
    </w:p>
    <w:p>
      <w:pPr>
        <w:pStyle w:val="ListParagraph"/>
        <w:numPr>
          <w:ilvl w:val="0"/>
          <w:numId w:val="2"/>
        </w:numPr>
        <w:spacing w:after="60" w:before="60"/>
      </w:pPr>
      <w:r>
        <w:rPr>
          <w:rFonts w:ascii="Arial" w:cs="Arial" w:eastAsia="Arial" w:hAnsi="Arial"/>
          <w:sz w:val="22"/>
          <w:szCs w:val="22"/>
        </w:rPr>
        <w:t xml:space="preserve">(D) 6.25 m²</w:t>
      </w:r>
    </w:p>
    <w:p>
      <w:pPr>
        <w:spacing w:after="80" w:before="80"/>
        <w:jc w:val="both"/>
      </w:pPr>
      <w:r>
        <w:rPr>
          <w:rFonts w:ascii="Arial" w:cs="Arial" w:eastAsia="Arial" w:hAnsi="Arial"/>
          <w:sz w:val="22"/>
          <w:szCs w:val="22"/>
        </w:rPr>
        <w:t xml:space="preserve">Answer: (B) | A = Q / (U × LMTD) = 50,000 W / (800 W/m²K × 40 K) = 50,000 / 32,000 = 1.5625 m² ≈ 1.56 m². With a 20% safety factor: A_design = 1.56 × 1.2 = 1.87 m². This would be specified to the next standard size (e.g., 2.0 m² exchanger).</w:t>
      </w:r>
    </w:p>
    <w:p>
      <w:pPr>
        <w:spacing w:after="60" w:before="60"/>
      </w:pPr>
      <w:r>
        <w:t xml:space="preserve"/>
      </w:r>
    </w:p>
    <w:p>
      <w:pPr>
        <w:spacing w:after="80" w:before="80"/>
        <w:jc w:val="both"/>
      </w:pPr>
      <w:r>
        <w:rPr>
          <w:rFonts w:ascii="Arial" w:cs="Arial" w:eastAsia="Arial" w:hAnsi="Arial"/>
          <w:b/>
          <w:bCs/>
          <w:sz w:val="22"/>
          <w:szCs w:val="22"/>
        </w:rPr>
        <w:t xml:space="preserve">Q9. The purpose of baffles in the shell of a shell-and-tube heat exchanger is to:</w:t>
      </w:r>
    </w:p>
    <w:p>
      <w:pPr>
        <w:pStyle w:val="ListParagraph"/>
        <w:numPr>
          <w:ilvl w:val="0"/>
          <w:numId w:val="2"/>
        </w:numPr>
        <w:spacing w:after="60" w:before="60"/>
      </w:pPr>
      <w:r>
        <w:rPr>
          <w:rFonts w:ascii="Arial" w:cs="Arial" w:eastAsia="Arial" w:hAnsi="Arial"/>
          <w:sz w:val="22"/>
          <w:szCs w:val="22"/>
        </w:rPr>
        <w:t xml:space="preserve">(A) Support the tube bundle and prevent tube vibration only</w:t>
      </w:r>
    </w:p>
    <w:p>
      <w:pPr>
        <w:pStyle w:val="ListParagraph"/>
        <w:numPr>
          <w:ilvl w:val="0"/>
          <w:numId w:val="2"/>
        </w:numPr>
        <w:spacing w:after="60" w:before="60"/>
      </w:pPr>
      <w:r>
        <w:rPr>
          <w:rFonts w:ascii="Arial" w:cs="Arial" w:eastAsia="Arial" w:hAnsi="Arial"/>
          <w:sz w:val="22"/>
          <w:szCs w:val="22"/>
        </w:rPr>
        <w:t xml:space="preserve">(B) Direct the shell-side fluid across the tube bundle in a zig-zag pattern — increasing velocity, turbulence, and the shell-side heat transfer coefficient h_o</w:t>
      </w:r>
    </w:p>
    <w:p>
      <w:pPr>
        <w:pStyle w:val="ListParagraph"/>
        <w:numPr>
          <w:ilvl w:val="0"/>
          <w:numId w:val="2"/>
        </w:numPr>
        <w:spacing w:after="60" w:before="60"/>
      </w:pPr>
      <w:r>
        <w:rPr>
          <w:rFonts w:ascii="Arial" w:cs="Arial" w:eastAsia="Arial" w:hAnsi="Arial"/>
          <w:sz w:val="22"/>
          <w:szCs w:val="22"/>
        </w:rPr>
        <w:t xml:space="preserve">(C) Prevent mixing of shell-side and tube-side fluids</w:t>
      </w:r>
    </w:p>
    <w:p>
      <w:pPr>
        <w:pStyle w:val="ListParagraph"/>
        <w:numPr>
          <w:ilvl w:val="0"/>
          <w:numId w:val="2"/>
        </w:numPr>
        <w:spacing w:after="60" w:before="60"/>
      </w:pPr>
      <w:r>
        <w:rPr>
          <w:rFonts w:ascii="Arial" w:cs="Arial" w:eastAsia="Arial" w:hAnsi="Arial"/>
          <w:sz w:val="22"/>
          <w:szCs w:val="22"/>
        </w:rPr>
        <w:t xml:space="preserve">(D) Filter solid particles from the shell-side fluid</w:t>
      </w:r>
    </w:p>
    <w:p>
      <w:pPr>
        <w:spacing w:after="80" w:before="80"/>
        <w:jc w:val="both"/>
      </w:pPr>
      <w:r>
        <w:rPr>
          <w:rFonts w:ascii="Arial" w:cs="Arial" w:eastAsia="Arial" w:hAnsi="Arial"/>
          <w:sz w:val="22"/>
          <w:szCs w:val="22"/>
        </w:rPr>
        <w:t xml:space="preserve">Answer: (B) | Without baffles, shell-side fluid flows longitudinally along the tubes — low velocity, laminar flow, low h_o. Baffles redirect flow perpendicularly across the tube bundle — higher velocity, turbulent cross-flow, much higher h_o (3–5× higher than unbaffled). Baffle spacing and cut size are designed to optimise heat transfer while maintaining acceptable pressure drop.</w:t>
      </w:r>
    </w:p>
    <w:p>
      <w:pPr>
        <w:spacing w:after="60" w:before="60"/>
      </w:pPr>
      <w:r>
        <w:t xml:space="preserve"/>
      </w:r>
    </w:p>
    <w:p>
      <w:pPr>
        <w:spacing w:after="80" w:before="80"/>
        <w:jc w:val="both"/>
      </w:pPr>
      <w:r>
        <w:rPr>
          <w:rFonts w:ascii="Arial" w:cs="Arial" w:eastAsia="Arial" w:hAnsi="Arial"/>
          <w:b/>
          <w:bCs/>
          <w:sz w:val="22"/>
          <w:szCs w:val="22"/>
        </w:rPr>
        <w:t xml:space="preserve">Q10. For a pharmaceutical API synthesis reactor, the half-pipe jacket is preferred over a conventional full jacket because:</w:t>
      </w:r>
    </w:p>
    <w:p>
      <w:pPr>
        <w:pStyle w:val="ListParagraph"/>
        <w:numPr>
          <w:ilvl w:val="0"/>
          <w:numId w:val="2"/>
        </w:numPr>
        <w:spacing w:after="60" w:before="60"/>
      </w:pPr>
      <w:r>
        <w:rPr>
          <w:rFonts w:ascii="Arial" w:cs="Arial" w:eastAsia="Arial" w:hAnsi="Arial"/>
          <w:sz w:val="22"/>
          <w:szCs w:val="22"/>
        </w:rPr>
        <w:t xml:space="preserve">(A) Half-pipe is cheaper to fabricate</w:t>
      </w:r>
    </w:p>
    <w:p>
      <w:pPr>
        <w:pStyle w:val="ListParagraph"/>
        <w:numPr>
          <w:ilvl w:val="0"/>
          <w:numId w:val="2"/>
        </w:numPr>
        <w:spacing w:after="60" w:before="60"/>
      </w:pPr>
      <w:r>
        <w:rPr>
          <w:rFonts w:ascii="Arial" w:cs="Arial" w:eastAsia="Arial" w:hAnsi="Arial"/>
          <w:sz w:val="22"/>
          <w:szCs w:val="22"/>
        </w:rPr>
        <w:t xml:space="preserve">(B) Half-pipe can withstand higher steam pressures and provides better heat transfer coefficient due to higher fluid velocity in the defined semi-circular channels — no dead zones</w:t>
      </w:r>
    </w:p>
    <w:p>
      <w:pPr>
        <w:pStyle w:val="ListParagraph"/>
        <w:numPr>
          <w:ilvl w:val="0"/>
          <w:numId w:val="2"/>
        </w:numPr>
        <w:spacing w:after="60" w:before="60"/>
      </w:pPr>
      <w:r>
        <w:rPr>
          <w:rFonts w:ascii="Arial" w:cs="Arial" w:eastAsia="Arial" w:hAnsi="Arial"/>
          <w:sz w:val="22"/>
          <w:szCs w:val="22"/>
        </w:rPr>
        <w:t xml:space="preserve">(C) Half-pipe allows visual inspection of vessel contents</w:t>
      </w:r>
    </w:p>
    <w:p>
      <w:pPr>
        <w:pStyle w:val="ListParagraph"/>
        <w:numPr>
          <w:ilvl w:val="0"/>
          <w:numId w:val="2"/>
        </w:numPr>
        <w:spacing w:after="60" w:before="60"/>
      </w:pPr>
      <w:r>
        <w:rPr>
          <w:rFonts w:ascii="Arial" w:cs="Arial" w:eastAsia="Arial" w:hAnsi="Arial"/>
          <w:sz w:val="22"/>
          <w:szCs w:val="22"/>
        </w:rPr>
        <w:t xml:space="preserve">(D) Half-pipe requires less cleaning agent volume</w:t>
      </w:r>
    </w:p>
    <w:p>
      <w:pPr>
        <w:spacing w:after="80" w:before="80"/>
        <w:jc w:val="both"/>
      </w:pPr>
      <w:r>
        <w:rPr>
          <w:rFonts w:ascii="Arial" w:cs="Arial" w:eastAsia="Arial" w:hAnsi="Arial"/>
          <w:sz w:val="22"/>
          <w:szCs w:val="22"/>
        </w:rPr>
        <w:t xml:space="preserve">Answer: (B) | Conventional full jacket: fluid fills large annular space — low velocity, potential dead zones, limited pressure rating (&lt; 6 bar typically). Half-pipe jacket: heat transfer fluid flows through defined semi-circular channels welded helically to vessel exterior — defined higher velocity, no dead zones, higher pressure rating (up to 25 bar for high-pressure steam). Superior heat transfer performance for demanding synthesis reactions.</w:t>
      </w:r>
    </w:p>
    <w:p>
      <w:pPr>
        <w:spacing w:after="60" w:before="60"/>
      </w:pPr>
      <w:r>
        <w:t xml:space="preserve"/>
      </w:r>
    </w:p>
    <w:p>
      <w:pPr>
        <w:spacing w:after="80" w:before="80"/>
        <w:jc w:val="both"/>
      </w:pPr>
      <w:r>
        <w:rPr>
          <w:rFonts w:ascii="Arial" w:cs="Arial" w:eastAsia="Arial" w:hAnsi="Arial"/>
          <w:b/>
          <w:bCs/>
          <w:sz w:val="22"/>
          <w:szCs w:val="22"/>
        </w:rPr>
        <w:t xml:space="preserve">Q11. Thermal conductivity (k) determines the importance of wall conduction resistance in a heat exchanger. For pharmaceutical SS 316L (k ≈ 15 W/mK) with 2 mm wall:</w:t>
      </w:r>
    </w:p>
    <w:p>
      <w:pPr>
        <w:pStyle w:val="ListParagraph"/>
        <w:numPr>
          <w:ilvl w:val="0"/>
          <w:numId w:val="2"/>
        </w:numPr>
        <w:spacing w:after="60" w:before="60"/>
      </w:pPr>
      <w:r>
        <w:rPr>
          <w:rFonts w:ascii="Arial" w:cs="Arial" w:eastAsia="Arial" w:hAnsi="Arial"/>
          <w:sz w:val="22"/>
          <w:szCs w:val="22"/>
        </w:rPr>
        <w:t xml:space="preserve">(A) Wall resistance dominates — SS is a poor conductor</w:t>
      </w:r>
    </w:p>
    <w:p>
      <w:pPr>
        <w:pStyle w:val="ListParagraph"/>
        <w:numPr>
          <w:ilvl w:val="0"/>
          <w:numId w:val="2"/>
        </w:numPr>
        <w:spacing w:after="60" w:before="60"/>
      </w:pPr>
      <w:r>
        <w:rPr>
          <w:rFonts w:ascii="Arial" w:cs="Arial" w:eastAsia="Arial" w:hAnsi="Arial"/>
          <w:sz w:val="22"/>
          <w:szCs w:val="22"/>
        </w:rPr>
        <w:t xml:space="preserve">(B) Wall resistance is negligible compared to fluid film resistances — Δx/k = 0.002/15 = 0.000133 m²K/W, which is much smaller than typical 1/h values</w:t>
      </w:r>
    </w:p>
    <w:p>
      <w:pPr>
        <w:pStyle w:val="ListParagraph"/>
        <w:numPr>
          <w:ilvl w:val="0"/>
          <w:numId w:val="2"/>
        </w:numPr>
        <w:spacing w:after="60" w:before="60"/>
      </w:pPr>
      <w:r>
        <w:rPr>
          <w:rFonts w:ascii="Arial" w:cs="Arial" w:eastAsia="Arial" w:hAnsi="Arial"/>
          <w:sz w:val="22"/>
          <w:szCs w:val="22"/>
        </w:rPr>
        <w:t xml:space="preserve">(C) Wall resistance equals fluid film resistance for typical pharmaceutical fluids</w:t>
      </w:r>
    </w:p>
    <w:p>
      <w:pPr>
        <w:pStyle w:val="ListParagraph"/>
        <w:numPr>
          <w:ilvl w:val="0"/>
          <w:numId w:val="2"/>
        </w:numPr>
        <w:spacing w:after="60" w:before="60"/>
      </w:pPr>
      <w:r>
        <w:rPr>
          <w:rFonts w:ascii="Arial" w:cs="Arial" w:eastAsia="Arial" w:hAnsi="Arial"/>
          <w:sz w:val="22"/>
          <w:szCs w:val="22"/>
        </w:rPr>
        <w:t xml:space="preserve">(D) Wall resistance cannot be calculated for stainless steel</w:t>
      </w:r>
    </w:p>
    <w:p>
      <w:pPr>
        <w:spacing w:after="80" w:before="80"/>
        <w:jc w:val="both"/>
      </w:pPr>
      <w:r>
        <w:rPr>
          <w:rFonts w:ascii="Arial" w:cs="Arial" w:eastAsia="Arial" w:hAnsi="Arial"/>
          <w:sz w:val="22"/>
          <w:szCs w:val="22"/>
        </w:rPr>
        <w:t xml:space="preserve">Answer: (B) | R_wall = Δx/k = 0.002/15 = 0.000133 m²K/W = 1.33 × 10⁻⁴ m²K/W. Compare to 1/h for liquid film: for water in turbulent flow h = 5000 W/m²K → 1/h = 2 × 10⁻⁴ m²K/W. Wall resistance is of similar order to fluid films but not dominant. Fouling resistance (0.0002–0.0005 m²K/W) can be larger than wall resistance — showing why fouling has such a significant impact on U.</w:t>
      </w:r>
    </w:p>
    <w:p>
      <w:pPr>
        <w:spacing w:after="60" w:before="60"/>
      </w:pPr>
      <w:r>
        <w:t xml:space="preserve"/>
      </w:r>
    </w:p>
    <w:p>
      <w:pPr>
        <w:spacing w:after="80" w:before="80"/>
        <w:jc w:val="both"/>
      </w:pPr>
      <w:r>
        <w:rPr>
          <w:rFonts w:ascii="Arial" w:cs="Arial" w:eastAsia="Arial" w:hAnsi="Arial"/>
          <w:b/>
          <w:bCs/>
          <w:sz w:val="22"/>
          <w:szCs w:val="22"/>
        </w:rPr>
        <w:t xml:space="preserve">Q12. The PHE (plate heat exchanger) is NOT recommended for:</w:t>
      </w:r>
    </w:p>
    <w:p>
      <w:pPr>
        <w:pStyle w:val="ListParagraph"/>
        <w:numPr>
          <w:ilvl w:val="0"/>
          <w:numId w:val="2"/>
        </w:numPr>
        <w:spacing w:after="60" w:before="60"/>
      </w:pPr>
      <w:r>
        <w:rPr>
          <w:rFonts w:ascii="Arial" w:cs="Arial" w:eastAsia="Arial" w:hAnsi="Arial"/>
          <w:sz w:val="22"/>
          <w:szCs w:val="22"/>
        </w:rPr>
        <w:t xml:space="preserve">(A) Pasteurisation of liquid pharmaceutical products at 72°C</w:t>
      </w:r>
    </w:p>
    <w:p>
      <w:pPr>
        <w:pStyle w:val="ListParagraph"/>
        <w:numPr>
          <w:ilvl w:val="0"/>
          <w:numId w:val="2"/>
        </w:numPr>
        <w:spacing w:after="60" w:before="60"/>
      </w:pPr>
      <w:r>
        <w:rPr>
          <w:rFonts w:ascii="Arial" w:cs="Arial" w:eastAsia="Arial" w:hAnsi="Arial"/>
          <w:sz w:val="22"/>
          <w:szCs w:val="22"/>
        </w:rPr>
        <w:t xml:space="preserve">(B) Fluids containing suspended solid particles (API crystal slurries) — narrow channel gaps (2–5 mm) are easily blocked by crystals; particles also cause erosion of plates and gaskets</w:t>
      </w:r>
    </w:p>
    <w:p>
      <w:pPr>
        <w:pStyle w:val="ListParagraph"/>
        <w:numPr>
          <w:ilvl w:val="0"/>
          <w:numId w:val="2"/>
        </w:numPr>
        <w:spacing w:after="60" w:before="60"/>
      </w:pPr>
      <w:r>
        <w:rPr>
          <w:rFonts w:ascii="Arial" w:cs="Arial" w:eastAsia="Arial" w:hAnsi="Arial"/>
          <w:sz w:val="22"/>
          <w:szCs w:val="22"/>
        </w:rPr>
        <w:t xml:space="preserve">(C) Cooling of API solutions from 80°C to 30°C</w:t>
      </w:r>
    </w:p>
    <w:p>
      <w:pPr>
        <w:pStyle w:val="ListParagraph"/>
        <w:numPr>
          <w:ilvl w:val="0"/>
          <w:numId w:val="2"/>
        </w:numPr>
        <w:spacing w:after="60" w:before="60"/>
      </w:pPr>
      <w:r>
        <w:rPr>
          <w:rFonts w:ascii="Arial" w:cs="Arial" w:eastAsia="Arial" w:hAnsi="Arial"/>
          <w:sz w:val="22"/>
          <w:szCs w:val="22"/>
        </w:rPr>
        <w:t xml:space="preserve">(D) Heating of fermentation medium</w:t>
      </w:r>
    </w:p>
    <w:p>
      <w:pPr>
        <w:spacing w:after="80" w:before="80"/>
        <w:jc w:val="both"/>
      </w:pPr>
      <w:r>
        <w:rPr>
          <w:rFonts w:ascii="Arial" w:cs="Arial" w:eastAsia="Arial" w:hAnsi="Arial"/>
          <w:sz w:val="22"/>
          <w:szCs w:val="22"/>
        </w:rPr>
        <w:t xml:space="preserve">Answer: (B) | PHE channel gap is typically 2–5 mm. Pharmaceutical crystal slurries with particle sizes &gt; 0.5 mm risk: channel blockage (fouling); plate/gasket erosion by abrasive particles; product entrapment in gasket crevices. For crystalline slurries, shell-and-tube heat exchangers (with wider tube bore, typically 19–25 mm ID) or jacketed vessels are more appropriate.</w:t>
      </w:r>
    </w:p>
    <w:p>
      <w:pPr>
        <w:spacing w:after="60" w:before="60"/>
      </w:pPr>
      <w:r>
        <w:t xml:space="preserve"/>
      </w:r>
    </w:p>
    <w:p>
      <w:pPr>
        <w:spacing w:after="80" w:before="80"/>
        <w:jc w:val="both"/>
      </w:pPr>
      <w:r>
        <w:rPr>
          <w:rFonts w:ascii="Arial" w:cs="Arial" w:eastAsia="Arial" w:hAnsi="Arial"/>
          <w:b/>
          <w:bCs/>
          <w:sz w:val="22"/>
          <w:szCs w:val="22"/>
        </w:rPr>
        <w:t xml:space="preserve">Q13. CIP (Clean-in-Place) of pharmaceutical heat exchangers is essential because:</w:t>
      </w:r>
    </w:p>
    <w:p>
      <w:pPr>
        <w:pStyle w:val="ListParagraph"/>
        <w:numPr>
          <w:ilvl w:val="0"/>
          <w:numId w:val="2"/>
        </w:numPr>
        <w:spacing w:after="60" w:before="60"/>
      </w:pPr>
      <w:r>
        <w:rPr>
          <w:rFonts w:ascii="Arial" w:cs="Arial" w:eastAsia="Arial" w:hAnsi="Arial"/>
          <w:sz w:val="22"/>
          <w:szCs w:val="22"/>
        </w:rPr>
        <w:t xml:space="preserve">(A) CIP lubricates the moving parts of the heat exchanger</w:t>
      </w:r>
    </w:p>
    <w:p>
      <w:pPr>
        <w:pStyle w:val="ListParagraph"/>
        <w:numPr>
          <w:ilvl w:val="0"/>
          <w:numId w:val="2"/>
        </w:numPr>
        <w:spacing w:after="60" w:before="60"/>
      </w:pPr>
      <w:r>
        <w:rPr>
          <w:rFonts w:ascii="Arial" w:cs="Arial" w:eastAsia="Arial" w:hAnsi="Arial"/>
          <w:sz w:val="22"/>
          <w:szCs w:val="22"/>
        </w:rPr>
        <w:t xml:space="preserve">(B) Fouling deposits reduce U and heat exchanger performance; biofilm in water-side circuits produces endotoxins; product residues could cross-contaminate the next batch — all requiring validated cleaning to maintain GMP compliance</w:t>
      </w:r>
    </w:p>
    <w:p>
      <w:pPr>
        <w:pStyle w:val="ListParagraph"/>
        <w:numPr>
          <w:ilvl w:val="0"/>
          <w:numId w:val="2"/>
        </w:numPr>
        <w:spacing w:after="60" w:before="60"/>
      </w:pPr>
      <w:r>
        <w:rPr>
          <w:rFonts w:ascii="Arial" w:cs="Arial" w:eastAsia="Arial" w:hAnsi="Arial"/>
          <w:sz w:val="22"/>
          <w:szCs w:val="22"/>
        </w:rPr>
        <w:t xml:space="preserve">(C) CIP tests the pressure rating of the heat exchanger</w:t>
      </w:r>
    </w:p>
    <w:p>
      <w:pPr>
        <w:pStyle w:val="ListParagraph"/>
        <w:numPr>
          <w:ilvl w:val="0"/>
          <w:numId w:val="2"/>
        </w:numPr>
        <w:spacing w:after="60" w:before="60"/>
      </w:pPr>
      <w:r>
        <w:rPr>
          <w:rFonts w:ascii="Arial" w:cs="Arial" w:eastAsia="Arial" w:hAnsi="Arial"/>
          <w:sz w:val="22"/>
          <w:szCs w:val="22"/>
        </w:rPr>
        <w:t xml:space="preserve">(D) CIP sterilises the product inside the heat exchanger</w:t>
      </w:r>
    </w:p>
    <w:p>
      <w:pPr>
        <w:spacing w:after="80" w:before="80"/>
        <w:jc w:val="both"/>
      </w:pPr>
      <w:r>
        <w:rPr>
          <w:rFonts w:ascii="Arial" w:cs="Arial" w:eastAsia="Arial" w:hAnsi="Arial"/>
          <w:sz w:val="22"/>
          <w:szCs w:val="22"/>
        </w:rPr>
        <w:t xml:space="preserve">Answer: (B) | CIP for pharmaceutical heat exchangers: (1) removes fouling deposits to restore U to design values; (2) removes product residues (cross-contamination prevention — critical in multi-product plants); (3) removes biofilm (which generates endotoxins in WFI systems); (4) sanitisation step (80°C hot water or 0.1% peracetic acid) for microbiological control. CIP cycles validated with coupon/swab sampling to confirm &lt; 10 ppm residual product.</w:t>
      </w:r>
    </w:p>
    <w:p>
      <w:pPr>
        <w:spacing w:after="60" w:before="60"/>
      </w:pPr>
      <w:r>
        <w:t xml:space="preserve"/>
      </w:r>
    </w:p>
    <w:p>
      <w:pPr>
        <w:spacing w:after="80" w:before="80"/>
        <w:jc w:val="both"/>
      </w:pPr>
      <w:r>
        <w:rPr>
          <w:rFonts w:ascii="Arial" w:cs="Arial" w:eastAsia="Arial" w:hAnsi="Arial"/>
          <w:b/>
          <w:bCs/>
          <w:sz w:val="22"/>
          <w:szCs w:val="22"/>
        </w:rPr>
        <w:t xml:space="preserve">Q14. Stefan-Boltzmann radiation law applies to pharmaceutical processing primarily in:</w:t>
      </w:r>
    </w:p>
    <w:p>
      <w:pPr>
        <w:pStyle w:val="ListParagraph"/>
        <w:numPr>
          <w:ilvl w:val="0"/>
          <w:numId w:val="2"/>
        </w:numPr>
        <w:spacing w:after="60" w:before="60"/>
      </w:pPr>
      <w:r>
        <w:rPr>
          <w:rFonts w:ascii="Arial" w:cs="Arial" w:eastAsia="Arial" w:hAnsi="Arial"/>
          <w:sz w:val="22"/>
          <w:szCs w:val="22"/>
        </w:rPr>
        <w:t xml:space="preserve">(A) WFI heat exchangers</w:t>
      </w:r>
    </w:p>
    <w:p>
      <w:pPr>
        <w:pStyle w:val="ListParagraph"/>
        <w:numPr>
          <w:ilvl w:val="0"/>
          <w:numId w:val="2"/>
        </w:numPr>
        <w:spacing w:after="60" w:before="60"/>
      </w:pPr>
      <w:r>
        <w:rPr>
          <w:rFonts w:ascii="Arial" w:cs="Arial" w:eastAsia="Arial" w:hAnsi="Arial"/>
          <w:sz w:val="22"/>
          <w:szCs w:val="22"/>
        </w:rPr>
        <w:t xml:space="preserve">(B) Tablet film coating</w:t>
      </w:r>
    </w:p>
    <w:p>
      <w:pPr>
        <w:pStyle w:val="ListParagraph"/>
        <w:numPr>
          <w:ilvl w:val="0"/>
          <w:numId w:val="2"/>
        </w:numPr>
        <w:spacing w:after="60" w:before="60"/>
      </w:pPr>
      <w:r>
        <w:rPr>
          <w:rFonts w:ascii="Arial" w:cs="Arial" w:eastAsia="Arial" w:hAnsi="Arial"/>
          <w:sz w:val="22"/>
          <w:szCs w:val="22"/>
        </w:rPr>
        <w:t xml:space="preserve">(C) Dry heat sterilisation ovens (160–250°C) where radiation contributes significantly to heat transfer</w:t>
      </w:r>
    </w:p>
    <w:p>
      <w:pPr>
        <w:pStyle w:val="ListParagraph"/>
        <w:numPr>
          <w:ilvl w:val="0"/>
          <w:numId w:val="2"/>
        </w:numPr>
        <w:spacing w:after="60" w:before="60"/>
      </w:pPr>
      <w:r>
        <w:rPr>
          <w:rFonts w:ascii="Arial" w:cs="Arial" w:eastAsia="Arial" w:hAnsi="Arial"/>
          <w:sz w:val="22"/>
          <w:szCs w:val="22"/>
        </w:rPr>
        <w:t xml:space="preserve">(D) Refrigerated API storage</w:t>
      </w:r>
    </w:p>
    <w:p>
      <w:pPr>
        <w:spacing w:after="80" w:before="80"/>
        <w:jc w:val="both"/>
      </w:pPr>
      <w:r>
        <w:rPr>
          <w:rFonts w:ascii="Arial" w:cs="Arial" w:eastAsia="Arial" w:hAnsi="Arial"/>
          <w:sz w:val="22"/>
          <w:szCs w:val="22"/>
        </w:rPr>
        <w:t xml:space="preserve">Answer: (C) | Stefan-Boltzmann: q = ε σ A (T₁⁴ − T₂⁴). At dry heat sterilisation temperatures (160–250°C = 433–523 K), the T⁴ values are large enough that radiation contributes 20–40% of total heat transfer. This is important for ensuring uniform sterilisation in all parts of the oven — load arrangement affects radiation exposure. The radiation mode is why empty glass vials placed far from heating elements can still be properly sterilised.</w:t>
      </w:r>
    </w:p>
    <w:p>
      <w:pPr>
        <w:spacing w:after="60" w:before="60"/>
      </w:pPr>
      <w:r>
        <w:t xml:space="preserve"/>
      </w:r>
    </w:p>
    <w:p>
      <w:pPr>
        <w:spacing w:after="80" w:before="80"/>
        <w:jc w:val="both"/>
      </w:pPr>
      <w:r>
        <w:rPr>
          <w:rFonts w:ascii="Arial" w:cs="Arial" w:eastAsia="Arial" w:hAnsi="Arial"/>
          <w:b/>
          <w:bCs/>
          <w:sz w:val="22"/>
          <w:szCs w:val="22"/>
        </w:rPr>
        <w:t xml:space="preserve">Q15. In designing a pharmaceutical shell-and-tube heat exchanger, the API solution would typically be placed on the TUBE side (inside tubes) rather than the shell side because:</w:t>
      </w:r>
    </w:p>
    <w:p>
      <w:pPr>
        <w:pStyle w:val="ListParagraph"/>
        <w:numPr>
          <w:ilvl w:val="0"/>
          <w:numId w:val="2"/>
        </w:numPr>
        <w:spacing w:after="60" w:before="60"/>
      </w:pPr>
      <w:r>
        <w:rPr>
          <w:rFonts w:ascii="Arial" w:cs="Arial" w:eastAsia="Arial" w:hAnsi="Arial"/>
          <w:sz w:val="22"/>
          <w:szCs w:val="22"/>
        </w:rPr>
        <w:t xml:space="preserve">(A) Tube-side flow is always faster — better heat transfer</w:t>
      </w:r>
    </w:p>
    <w:p>
      <w:pPr>
        <w:pStyle w:val="ListParagraph"/>
        <w:numPr>
          <w:ilvl w:val="0"/>
          <w:numId w:val="2"/>
        </w:numPr>
        <w:spacing w:after="60" w:before="60"/>
      </w:pPr>
      <w:r>
        <w:rPr>
          <w:rFonts w:ascii="Arial" w:cs="Arial" w:eastAsia="Arial" w:hAnsi="Arial"/>
          <w:sz w:val="22"/>
          <w:szCs w:val="22"/>
        </w:rPr>
        <w:t xml:space="preserve">(B) Tube side is easier to clean (CIP spray through tubes), easier to inspect, allows use of specialist tube material (SS 316L, Hastelloy) without requiring expensive shell material, and better containment for hazardous or potent pharmaceutical solutions</w:t>
      </w:r>
    </w:p>
    <w:p>
      <w:pPr>
        <w:pStyle w:val="ListParagraph"/>
        <w:numPr>
          <w:ilvl w:val="0"/>
          <w:numId w:val="2"/>
        </w:numPr>
        <w:spacing w:after="60" w:before="60"/>
      </w:pPr>
      <w:r>
        <w:rPr>
          <w:rFonts w:ascii="Arial" w:cs="Arial" w:eastAsia="Arial" w:hAnsi="Arial"/>
          <w:sz w:val="22"/>
          <w:szCs w:val="22"/>
        </w:rPr>
        <w:t xml:space="preserve">(C) Shell-side pressure is always too high for pharmaceutical liquids</w:t>
      </w:r>
    </w:p>
    <w:p>
      <w:pPr>
        <w:pStyle w:val="ListParagraph"/>
        <w:numPr>
          <w:ilvl w:val="0"/>
          <w:numId w:val="2"/>
        </w:numPr>
        <w:spacing w:after="60" w:before="60"/>
      </w:pPr>
      <w:r>
        <w:rPr>
          <w:rFonts w:ascii="Arial" w:cs="Arial" w:eastAsia="Arial" w:hAnsi="Arial"/>
          <w:sz w:val="22"/>
          <w:szCs w:val="22"/>
        </w:rPr>
        <w:t xml:space="preserve">(D) API solutions are always more viscous than cooling/heating utilities</w:t>
      </w:r>
    </w:p>
    <w:p>
      <w:pPr>
        <w:spacing w:after="80" w:before="80"/>
        <w:jc w:val="both"/>
      </w:pPr>
      <w:r>
        <w:rPr>
          <w:rFonts w:ascii="Arial" w:cs="Arial" w:eastAsia="Arial" w:hAnsi="Arial"/>
          <w:sz w:val="22"/>
          <w:szCs w:val="22"/>
        </w:rPr>
        <w:t xml:space="preserve">Answer: (B) | Tube-side placement of pharmaceutical product: (1) easier mechanical cleaning (CIP or brushing); (2) easier to use high-quality SS 316L or exotic alloy tubes without same-material shell; (3) better leak containment (tube-side pressure typically higher — any leak goes outward not inward); (4) simpler inspection of tube inner surfaces. Shell side is typically used for steam or cooling water (lower cleanliness requirement).</w:t>
      </w:r>
    </w:p>
    <w:p>
      <w:pPr>
        <w:spacing w:after="60" w:before="60"/>
      </w:pPr>
      <w:r>
        <w:t xml:space="preserve"/>
      </w:r>
    </w:p>
    <w:p>
      <w:pPr>
        <w:pStyle w:val="Heading2"/>
        <w:spacing w:after="150" w:before="300"/>
      </w:pPr>
      <w:r>
        <w:rPr>
          <w:rFonts w:ascii="Arial" w:cs="Arial" w:eastAsia="Arial" w:hAnsi="Arial"/>
          <w:b/>
          <w:bCs/>
          <w:color w:val="1F4E79"/>
          <w:sz w:val="26"/>
          <w:szCs w:val="26"/>
        </w:rPr>
        <w:t xml:space="preserve">Short Answer Questions — Chapter 11</w:t>
      </w:r>
    </w:p>
    <w:p>
      <w:pPr>
        <w:spacing w:after="80" w:before="80"/>
        <w:jc w:val="both"/>
      </w:pPr>
      <w:r>
        <w:rPr>
          <w:rFonts w:ascii="Arial" w:cs="Arial" w:eastAsia="Arial" w:hAnsi="Arial"/>
          <w:sz w:val="22"/>
          <w:szCs w:val="22"/>
        </w:rPr>
        <w:t xml:space="preserve">Q1. State and explain the three modes of heat transfer with equations and pharmaceutical examples.</w:t>
      </w:r>
    </w:p>
    <w:p>
      <w:pPr>
        <w:spacing w:after="80" w:before="80"/>
        <w:jc w:val="both"/>
      </w:pPr>
      <w:r>
        <w:rPr>
          <w:rFonts w:ascii="Arial" w:cs="Arial" w:eastAsia="Arial" w:hAnsi="Arial"/>
          <w:sz w:val="22"/>
          <w:szCs w:val="22"/>
        </w:rPr>
        <w:t xml:space="preserve">Q2. Explain overall heat transfer coefficient U. How does fouling affect U? What is the significance of fouling in pharmaceutical heat exchangers?</w:t>
      </w:r>
    </w:p>
    <w:p>
      <w:pPr>
        <w:spacing w:after="80" w:before="80"/>
        <w:jc w:val="both"/>
      </w:pPr>
      <w:r>
        <w:rPr>
          <w:rFonts w:ascii="Arial" w:cs="Arial" w:eastAsia="Arial" w:hAnsi="Arial"/>
          <w:sz w:val="22"/>
          <w:szCs w:val="22"/>
        </w:rPr>
        <w:t xml:space="preserve">Q3. Describe the construction and working of a shell-and-tube heat exchanger. Why are baffles used on the shell side?</w:t>
      </w:r>
    </w:p>
    <w:p>
      <w:pPr>
        <w:spacing w:after="80" w:before="80"/>
        <w:jc w:val="both"/>
      </w:pPr>
      <w:r>
        <w:rPr>
          <w:rFonts w:ascii="Arial" w:cs="Arial" w:eastAsia="Arial" w:hAnsi="Arial"/>
          <w:sz w:val="22"/>
          <w:szCs w:val="22"/>
        </w:rPr>
        <w:t xml:space="preserve">Q4. Compare plate heat exchanger (PHE) and shell-and-tube heat exchanger in terms of U values, advantages, disadvantages, and pharmaceutical applications.</w:t>
      </w:r>
    </w:p>
    <w:p>
      <w:pPr>
        <w:spacing w:after="80" w:before="80"/>
        <w:jc w:val="both"/>
      </w:pPr>
      <w:r>
        <w:rPr>
          <w:rFonts w:ascii="Arial" w:cs="Arial" w:eastAsia="Arial" w:hAnsi="Arial"/>
          <w:sz w:val="22"/>
          <w:szCs w:val="22"/>
        </w:rPr>
        <w:t xml:space="preserve">Q5. Design a heat exchanger to heat 800 L/hr of API solution from 25°C to 65°C using steam condensing at 120°C. Cp = 4.0 kJ/kg°C; density = 1000 kg/m³; U = 1200 W/m²K. Calculate Q, LMTD (assume condensate outlet = 120°C), and required area A.</w:t>
      </w:r>
    </w:p>
    <w:p>
      <w:pPr>
        <w:spacing w:after="60" w:before="60"/>
      </w:pPr>
      <w:r>
        <w:t xml:space="preserve"/>
      </w:r>
    </w:p>
    <w:p>
      <w:pPr>
        <w:pStyle w:val="Heading2"/>
        <w:spacing w:after="150" w:before="300"/>
      </w:pPr>
      <w:r>
        <w:rPr>
          <w:rFonts w:ascii="Arial" w:cs="Arial" w:eastAsia="Arial" w:hAnsi="Arial"/>
          <w:b/>
          <w:bCs/>
          <w:color w:val="1F4E79"/>
          <w:sz w:val="26"/>
          <w:szCs w:val="26"/>
        </w:rPr>
        <w:t xml:space="preserve">Long Essay Questions — Chapter 11</w:t>
      </w:r>
    </w:p>
    <w:p>
      <w:pPr>
        <w:spacing w:after="80" w:before="80"/>
        <w:jc w:val="both"/>
      </w:pPr>
      <w:r>
        <w:rPr>
          <w:rFonts w:ascii="Arial" w:cs="Arial" w:eastAsia="Arial" w:hAnsi="Arial"/>
          <w:sz w:val="22"/>
          <w:szCs w:val="22"/>
        </w:rPr>
        <w:t xml:space="preserve">Q1. Describe the theory of heat transfer in pharmaceutical engineering. Include: three modes (Fourier's Law — conduction; Newton's Law — convection; Stefan-Boltzmann — radiation); overall heat transfer coefficient U (equation, fouling effect); LMTD (derivation concept, counter vs co-current comparison); heat exchanger design equation Q = U × A × LMTD. Present a complete worked design example.</w:t>
      </w:r>
    </w:p>
    <w:p>
      <w:pPr>
        <w:spacing w:after="80" w:before="80"/>
        <w:jc w:val="both"/>
      </w:pPr>
      <w:r>
        <w:rPr>
          <w:rFonts w:ascii="Arial" w:cs="Arial" w:eastAsia="Arial" w:hAnsi="Arial"/>
          <w:sz w:val="22"/>
          <w:szCs w:val="22"/>
        </w:rPr>
        <w:t xml:space="preserve">Q2. Describe heat transfer equipment in pharmaceutical manufacturing. Include: shell-and-tube heat exchanger (construction with all components, working, baffles, advantages, disadvantages, applications); plate heat exchanger (construction, corrugated plates, advantages, limitations); jacketed vessel (types — full jacket, half-pipe, limpet coil; working; pharmaceutical applications). Describe fouling types and prevention methods.</w:t>
      </w:r>
    </w:p>
    <w:p>
      <w:pPr>
        <w:spacing w:after="60" w:before="60"/>
      </w:pPr>
      <w:r>
        <w:t xml:space="preserve"/>
      </w:r>
    </w:p>
    <w:p>
      <w:r>
        <w:br w:type="page"/>
      </w:r>
    </w:p>
    <w:sectPr>
      <w:pgSz w:w="11906" w:h="16838" w:orient="portrait"/>
      <w:pgMar w:top="1440" w:right="126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F4E79"/>
      <w:sz w:val="32"/>
      <w:szCs w:val="32"/>
    </w:rPr>
  </w:style>
  <w:style w:type="paragraph" w:styleId="Heading2">
    <w:name w:val="Heading 2"/>
    <w:basedOn w:val="Normal"/>
    <w:next w:val="Normal"/>
    <w:qFormat/>
    <w:pPr>
      <w:spacing w:after="150" w:before="300"/>
      <w:outlineLvl w:val="1"/>
    </w:pPr>
    <w:rPr>
      <w:rFonts w:ascii="Arial" w:cs="Arial" w:eastAsia="Arial" w:hAnsi="Arial"/>
      <w:b/>
      <w:bCs/>
      <w:color w:val="1F4E79"/>
      <w:sz w:val="26"/>
      <w:szCs w:val="26"/>
    </w:rPr>
  </w:style>
  <w:style w:type="paragraph" w:styleId="Heading3">
    <w:name w:val="Heading 3"/>
    <w:basedOn w:val="Normal"/>
    <w:next w:val="Normal"/>
    <w:qFormat/>
    <w:pPr>
      <w:spacing w:after="100" w:before="200"/>
      <w:outlineLvl w:val="2"/>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2026-05-30T22:23:50.585Z</dcterms:created>
  <dcterms:modified xsi:type="dcterms:W3CDTF">2026-05-30T22:23:50.588Z</dcterms:modified>
</cp:coreProperties>
</file>

<file path=docProps/custom.xml><?xml version="1.0" encoding="utf-8"?>
<Properties xmlns="http://schemas.openxmlformats.org/officeDocument/2006/custom-properties" xmlns:vt="http://schemas.openxmlformats.org/officeDocument/2006/docPropsVTypes"/>
</file>