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13</w:t>
      </w:r>
    </w:p>
    <w:p>
      <w:pPr>
        <w:pStyle w:val="Heading1"/>
        <w:spacing w:after="200" w:before="400"/>
      </w:pPr>
      <w:r>
        <w:rPr>
          <w:rFonts w:ascii="Arial" w:cs="Arial" w:eastAsia="Arial" w:hAnsi="Arial"/>
          <w:b/>
          <w:bCs/>
          <w:color w:val="1F4E79"/>
          <w:sz w:val="32"/>
          <w:szCs w:val="32"/>
        </w:rPr>
        <w:t xml:space="preserve">Material Handling and Storage in Pharmaceutical Manufacturing</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CO1</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Explain principles and pharmaceutical applications of material handling and storage systems.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L2</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material handling equipment.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L2, L3</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CO4</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Demonstrate awareness of safety, containment, and GMP requirements in pharmaceutical material handling.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13.1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material handling and explain its significance in pharmaceutical manufacturing</w:t>
      </w:r>
    </w:p>
    <w:p>
      <w:pPr>
        <w:pStyle w:val="ListParagraph"/>
        <w:numPr>
          <w:ilvl w:val="0"/>
          <w:numId w:val="2"/>
        </w:numPr>
        <w:spacing w:after="60" w:before="60"/>
      </w:pPr>
      <w:r>
        <w:rPr>
          <w:rFonts w:ascii="Arial" w:cs="Arial" w:eastAsia="Arial" w:hAnsi="Arial"/>
          <w:sz w:val="22"/>
          <w:szCs w:val="22"/>
        </w:rPr>
        <w:t xml:space="preserve">Describe the different types of conveyors (belt, screw, pneumatic, vibrating) and their pharmaceutical applications</w:t>
      </w:r>
    </w:p>
    <w:p>
      <w:pPr>
        <w:pStyle w:val="ListParagraph"/>
        <w:numPr>
          <w:ilvl w:val="0"/>
          <w:numId w:val="2"/>
        </w:numPr>
        <w:spacing w:after="60" w:before="60"/>
      </w:pPr>
      <w:r>
        <w:rPr>
          <w:rFonts w:ascii="Arial" w:cs="Arial" w:eastAsia="Arial" w:hAnsi="Arial"/>
          <w:sz w:val="22"/>
          <w:szCs w:val="22"/>
        </w:rPr>
        <w:t xml:space="preserve">Explain hoists, elevators, and automated guided vehicles (AGVs) used in pharmaceutical plants</w:t>
      </w:r>
    </w:p>
    <w:p>
      <w:pPr>
        <w:pStyle w:val="ListParagraph"/>
        <w:numPr>
          <w:ilvl w:val="0"/>
          <w:numId w:val="2"/>
        </w:numPr>
        <w:spacing w:after="60" w:before="60"/>
      </w:pPr>
      <w:r>
        <w:rPr>
          <w:rFonts w:ascii="Arial" w:cs="Arial" w:eastAsia="Arial" w:hAnsi="Arial"/>
          <w:sz w:val="22"/>
          <w:szCs w:val="22"/>
        </w:rPr>
        <w:t xml:space="preserve">Describe pharmaceutical bins, intermediate bulk containers (IBCs), and silos — design requirements and GMP compliance</w:t>
      </w:r>
    </w:p>
    <w:p>
      <w:pPr>
        <w:pStyle w:val="ListParagraph"/>
        <w:numPr>
          <w:ilvl w:val="0"/>
          <w:numId w:val="2"/>
        </w:numPr>
        <w:spacing w:after="60" w:before="60"/>
      </w:pPr>
      <w:r>
        <w:rPr>
          <w:rFonts w:ascii="Arial" w:cs="Arial" w:eastAsia="Arial" w:hAnsi="Arial"/>
          <w:sz w:val="22"/>
          <w:szCs w:val="22"/>
        </w:rPr>
        <w:t xml:space="preserve">Explain the principles of cold chain logistics for temperature-sensitive pharmaceutical products</w:t>
      </w:r>
    </w:p>
    <w:p>
      <w:pPr>
        <w:pStyle w:val="ListParagraph"/>
        <w:numPr>
          <w:ilvl w:val="0"/>
          <w:numId w:val="2"/>
        </w:numPr>
        <w:spacing w:after="60" w:before="60"/>
      </w:pPr>
      <w:r>
        <w:rPr>
          <w:rFonts w:ascii="Arial" w:cs="Arial" w:eastAsia="Arial" w:hAnsi="Arial"/>
          <w:sz w:val="22"/>
          <w:szCs w:val="22"/>
        </w:rPr>
        <w:t xml:space="preserve">Describe containment requirements for handling potent active pharmaceutical ingredients (OEB 4/5)</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13.2 Definition and Importance of Material Handling</w:t>
      </w:r>
    </w:p>
    <w:p>
      <w:pPr>
        <w:spacing w:after="80" w:before="80"/>
        <w:jc w:val="both"/>
      </w:pPr>
      <w:r>
        <w:rPr>
          <w:rFonts w:ascii="Arial" w:cs="Arial" w:eastAsia="Arial" w:hAnsi="Arial"/>
          <w:sz w:val="22"/>
          <w:szCs w:val="22"/>
        </w:rPr>
        <w:t xml:space="preserve">Material handling is the movement, storage, control, and protection of materials, goods, and products throughout the manufacturing and distribution process. In pharmaceutical manufacturing, material handling is not merely logistical — it is a GMP-critical activity directly affecting product quality, operator safety, and regulatory compliance.</w:t>
      </w:r>
    </w:p>
    <w:p>
      <w:pPr>
        <w:spacing w:after="80" w:before="80"/>
        <w:jc w:val="both"/>
      </w:pPr>
      <w:r>
        <w:rPr>
          <w:rFonts w:ascii="Arial" w:cs="Arial" w:eastAsia="Arial" w:hAnsi="Arial"/>
          <w:sz w:val="22"/>
          <w:szCs w:val="22"/>
        </w:rPr>
        <w:t xml:space="preserve">Pharmaceutical material handling encompasses:</w:t>
      </w:r>
    </w:p>
    <w:p>
      <w:pPr>
        <w:pStyle w:val="ListParagraph"/>
        <w:numPr>
          <w:ilvl w:val="0"/>
          <w:numId w:val="2"/>
        </w:numPr>
        <w:spacing w:after="60" w:before="60"/>
      </w:pPr>
      <w:r>
        <w:rPr>
          <w:rFonts w:ascii="Arial" w:cs="Arial" w:eastAsia="Arial" w:hAnsi="Arial"/>
          <w:sz w:val="22"/>
          <w:szCs w:val="22"/>
        </w:rPr>
        <w:t xml:space="preserve">Receipt and quarantine of raw materials (APIs, excipients, packaging materials)</w:t>
      </w:r>
    </w:p>
    <w:p>
      <w:pPr>
        <w:pStyle w:val="ListParagraph"/>
        <w:numPr>
          <w:ilvl w:val="0"/>
          <w:numId w:val="2"/>
        </w:numPr>
        <w:spacing w:after="60" w:before="60"/>
      </w:pPr>
      <w:r>
        <w:rPr>
          <w:rFonts w:ascii="Arial" w:cs="Arial" w:eastAsia="Arial" w:hAnsi="Arial"/>
          <w:sz w:val="22"/>
          <w:szCs w:val="22"/>
        </w:rPr>
        <w:t xml:space="preserve">Internal transfer of materials between manufacturing areas (weighing, granulation, compression, coating, packaging)</w:t>
      </w:r>
    </w:p>
    <w:p>
      <w:pPr>
        <w:pStyle w:val="ListParagraph"/>
        <w:numPr>
          <w:ilvl w:val="0"/>
          <w:numId w:val="2"/>
        </w:numPr>
        <w:spacing w:after="60" w:before="60"/>
      </w:pPr>
      <w:r>
        <w:rPr>
          <w:rFonts w:ascii="Arial" w:cs="Arial" w:eastAsia="Arial" w:hAnsi="Arial"/>
          <w:sz w:val="22"/>
          <w:szCs w:val="22"/>
        </w:rPr>
        <w:t xml:space="preserve">Transfer of intermediates between process steps without cross-contamination or loss</w:t>
      </w:r>
    </w:p>
    <w:p>
      <w:pPr>
        <w:pStyle w:val="ListParagraph"/>
        <w:numPr>
          <w:ilvl w:val="0"/>
          <w:numId w:val="2"/>
        </w:numPr>
        <w:spacing w:after="60" w:before="60"/>
      </w:pPr>
      <w:r>
        <w:rPr>
          <w:rFonts w:ascii="Arial" w:cs="Arial" w:eastAsia="Arial" w:hAnsi="Arial"/>
          <w:sz w:val="22"/>
          <w:szCs w:val="22"/>
        </w:rPr>
        <w:t xml:space="preserve">Storage in warehouses, cold rooms, and controlled environments</w:t>
      </w:r>
    </w:p>
    <w:p>
      <w:pPr>
        <w:pStyle w:val="ListParagraph"/>
        <w:numPr>
          <w:ilvl w:val="0"/>
          <w:numId w:val="2"/>
        </w:numPr>
        <w:spacing w:after="60" w:before="60"/>
      </w:pPr>
      <w:r>
        <w:rPr>
          <w:rFonts w:ascii="Arial" w:cs="Arial" w:eastAsia="Arial" w:hAnsi="Arial"/>
          <w:sz w:val="22"/>
          <w:szCs w:val="22"/>
        </w:rPr>
        <w:t xml:space="preserve">Distribution of finished products to patients — including cold chain maintenance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13.2.1 GMP Principles for Material Handling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2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GMP Principle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Requirement</w:t>
            </w:r>
          </w:p>
        </w:tc>
        <w:tc>
          <w:tcPr>
            <w:tcW w:type="dxa" w:w="4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Engineering Solution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Identity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Each material correctly identified and labelled at all times; prevent mix-ups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Barcoded labels; RFID tracking; IBC labelling stations; automated material tracking systems (MES)</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Contamination prevention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Prevent physical, chemical, and microbiological cross-contamination between materials and products</w:t>
            </w:r>
          </w:p>
        </w:tc>
        <w:tc>
          <w:tcPr>
            <w:tcW w:type="dxa" w:w="4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Dedicated equipment per product; closed transfers; contained conveying; single-use liners in IBCs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Segregation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Quarantine materials until approved; separate rejected from approved materials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Colour-coded storage areas; physical barriers; quarantine zones; electronic status systems</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Traceability</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Complete documentation of material movement from receipt to product release</w:t>
            </w:r>
          </w:p>
        </w:tc>
        <w:tc>
          <w:tcPr>
            <w:tcW w:type="dxa" w:w="4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Batch tracking; material management software; weighing records; movement logs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Safety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Protect operators from hazardous materials (potent APIs, solvents, biologics)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Containment systems; isolators; contained transfers; split-butterfly valves; engineering controls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13.3 Conveyors</w:t>
      </w:r>
    </w:p>
    <w:p>
      <w:pPr>
        <w:pStyle w:val="Heading3"/>
        <w:spacing w:after="100" w:before="200"/>
      </w:pPr>
      <w:r>
        <w:rPr>
          <w:rFonts w:ascii="Arial" w:cs="Arial" w:eastAsia="Arial" w:hAnsi="Arial"/>
          <w:b/>
          <w:bCs/>
          <w:color w:val="2E75B6"/>
          <w:sz w:val="24"/>
          <w:szCs w:val="24"/>
        </w:rPr>
        <w:t xml:space="preserve">13.3.1 Belt Conveyor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Belt Conveyor — Pharmaceutical Material Transport</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Continuous belt loop animation, idler rollers, drive mechanism, pharmaceutical tablet and packaging transport applications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Principle: An endless belt supported by idler rollers moves material from one point to another. The belt is driven by a motorised head pulley at one end; material is loaded at the tail end and discharged at the head end. Belt conveyors are the most widely used material transport system in pharmaceutical packaging and light-load applications.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Endless belt</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Flat or cleated belt made of rubber, PVC, PU (polyurethane), or food-grade silicone; width 150 mm to 1200 mm; continuous loop over head and tail pulleys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Head pulley (drive pulley)</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Motor-driven pulley at discharge end; drives the belt; friction drives belt through lagged surface; speed controlled by variable frequency drive (VFD) for adjustable throughput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Tail pulley (idler)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Passive pulley at feed end; allows belt to turn and return; adjustable for belt tension</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Idler rollers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Rollers supporting the belt along its length; spaced 600–1500 mm apart; prevent belt sag; flat idlers for packaging; troughing idlers for bulk materials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Support frame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Steel frame (SS 304 or 316L for GMP areas) supporting all components; height adjustable; mobile versions (trolley-mounted) for flexible layout</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Drive motor and gearbox</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Motor + gearbox; typical speeds 0.05–2 m/s; variable speed via VFD for production line synchronisation</w:t>
            </w:r>
          </w:p>
        </w:tc>
      </w:tr>
    </w:tbl>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reliable, low maintenance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Open design — product exposed to environment; dust generation with dry products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Tablet conveying from compression to coating in solid dosage lines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Wide speed range — matches production line requirements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Not suitable for inclines &gt; 20° without cleats; not for cohesive or sticky powders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Blister pack conveying from sealing to cartoning machines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Handles wide variety of products — tablets, blisters, cartons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Cleaning required between products — belt, idlers, and guards must be cleaned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Conveying of cartons, shipper cases in packaging lines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Can incorporate checkweigher, metal detector, vision system</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Cannot handle bulk powders without enclosed housing</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Secondary packaging lines — carton filling, case packing, palletising</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13.3.2 Screw Conveyor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Screw Conveyor — Powder and Granule Transfer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Rotating helical screw inside trough, powder conveying mechanism, horizontal and inclined operation, pharmaceutical bulk solid transfer</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Principle: A helical screw (auger) rotating inside a fixed trough or tube moves granular or powdered material from feed to discharge end by the propulsive action of the rotating screw flights. Direction of material flow is determined by direction of screw rotation and pitch direction. Screw conveyors can operate horizontally, inclined (up to 45°), or vertically.</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Horizontal Screw Conveyor</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Vertical Screw Conveyor</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Flexible (Spiral) Screw</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Inclination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0–20° max without special design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True vertical (90°) — requires tight screw-to-tube clearance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Any angle 0–90°; flexible outer tube</w:t>
            </w:r>
          </w:p>
        </w:tc>
      </w:tr>
      <w:tr>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Material movement</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Axial movement along trough; 40–45% trough fill for optimal efficiency</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Upward by centrifugal action; tight tolerances essential</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Flexible routing around obstacles; any path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Material suitability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Free-flowing to moderately cohesive granules, powders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Free-flowing granules only — not for cohesive materials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Free-flowing to moderately cohesive powders and granules</w:t>
            </w:r>
          </w:p>
        </w:tc>
      </w:tr>
      <w:tr>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use</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Transfer of tablet granules from dryer to compression; excipient dispensing</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Vertical transfer between floors; loading of tablet press hoppers from floor level</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Connecting non-linear process equipment; flexible dispensing systems</w:t>
            </w:r>
          </w:p>
        </w:tc>
      </w:tr>
    </w:tbl>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Enclosed design — contained transfer; dust-free with proper housing</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Mechanical degradation of fragile granules by screw — not suitable for high-friability particles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Simple, reliable — rotating shaft and flights only; easy to clean</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Fill level critical — over-filling reduces efficiency; under-filling causes material spilling</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Handles wet and dry materials — wet granulation transfer after granulator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Caking and bridging possible with cohesive powders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Inexpensive compared to pneumatic conveying</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Not for high-purity applications without careful seal design — shaft seals can be contamination source</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13.3.3 Pneumatic Conveying System</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Pneumatic Conveying — Powder Transfer by Air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Dilute phase vs dense phase conveying animation, pressure differential transport, pharmaceutical API and excipient powder transfer</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Principle: Pneumatic conveying uses flowing air (or inert gas — nitrogen for oxygen-sensitive materials) to transport powder or granules through a closed pipeline. Two main systems: Dilute phase — low pressure, high air velocity (15–30 m/s), material suspended in air stream; Dense phase — high pressure, low air velocity (2–10 m/s), material moves as plugs or slugs. Dense phase is preferred for pharmaceutical use — lower velocity reduces particle attrition and degradation.</w:t>
      </w:r>
    </w:p>
    <w:p>
      <w:pPr>
        <w:spacing w:after="6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800"/>
        <w:gridCol w:w="3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Pressure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Air Velocity</w:t>
            </w:r>
          </w:p>
        </w:tc>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Solid Loading</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Best For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Dilute phase (positive pressure)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0.1–1 bar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15–30 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 (solid:air ratio &lt; 10)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Fine, light powders; long distances; flexible routing</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Dense phase (positive pressure)</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1–6 bar</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2–10 m/s</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(solid:air ratio &gt; 30)</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Fragile granules; abrasive materials; pharmaceutical APIs; tablets (minimise breakage)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Vacuum (negative pressure)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0.1–0.5 bar vacuum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5–20 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Moderate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Contained transfer from open vessels; prevents dust emission; loading of tablet presses and granulators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Combined (push-pull)</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Positive + vacuum</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Variable</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Variable</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Long distances with multiple pickup and delivery points; large pharmaceutical plants</w:t>
            </w:r>
          </w:p>
        </w:tc>
      </w:tr>
    </w:tbl>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Fully enclosed — dust-free; contained transfer of potent APIs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Dense phase requires careful design to prevent blockage (plugging) in bends and transitions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Transfer of API from dispensing to blending; blender to tablet press hoppers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Long distances; vertical and horizontal routes; flexible layout</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Abrasion of pipeline bends; maintenance of bends and diverter valves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Transfer of granules from FBD to tablet press hoppers (gravity alternative)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moving parts in pipeline — low maintenance; easy cleaning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Electrostatic charge generation — ground bonding of all components essential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Contained transfer of high-potency compounds (OEB 4/5) between process steps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Nitrogen purging possible for moisture/oxygen-sensitive APIs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power consumption compared to gravity transfer</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Delivery of packaging materials (tablets/capsules) to filling equipment</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13.3.4 Vibrating (Vibratory) Conveyor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Vibrating Conveyor — Fragile Product Transport</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Vibratory drive mechanism, gentle forward motion, fragile tablet transport, pharmaceutical tablet inspection conveyor</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Principle: A vibrating conveyor imparts a back-and-forth linear motion (at 50–60 Hz from unbalanced weights or electromagnetic drive) to a trough or deck at a specific angle. The material is gently thrown forward with each vibration cycle, advancing along the trough without sliding back due to the inclination of the vibration angle. Extremely gentle — no mechanical contact between conveyor parts and the product beyond the trough surface.</w:t>
      </w:r>
    </w:p>
    <w:p>
      <w:pPr>
        <w:pStyle w:val="ListParagraph"/>
        <w:numPr>
          <w:ilvl w:val="0"/>
          <w:numId w:val="2"/>
        </w:numPr>
        <w:spacing w:after="60" w:before="60"/>
      </w:pPr>
      <w:r>
        <w:rPr>
          <w:rFonts w:ascii="Arial" w:cs="Arial" w:eastAsia="Arial" w:hAnsi="Arial"/>
          <w:sz w:val="22"/>
          <w:szCs w:val="22"/>
        </w:rPr>
        <w:t xml:space="preserve">Applications: Conveying fragile coated tablets without chipping; conveying soft gelatin capsules; feeding tablets to blister packaging machines or inspection carousels; conveying britttle products (effervescent tablets, lyophilised products, chocolate-coated tablets)</w:t>
      </w:r>
    </w:p>
    <w:p>
      <w:pPr>
        <w:pStyle w:val="ListParagraph"/>
        <w:numPr>
          <w:ilvl w:val="0"/>
          <w:numId w:val="2"/>
        </w:numPr>
        <w:spacing w:after="60" w:before="60"/>
      </w:pPr>
      <w:r>
        <w:rPr>
          <w:rFonts w:ascii="Arial" w:cs="Arial" w:eastAsia="Arial" w:hAnsi="Arial"/>
          <w:sz w:val="22"/>
          <w:szCs w:val="22"/>
        </w:rPr>
        <w:t xml:space="preserve">Advantages: Extremely gentle on product; easy to clean (smooth trough); no moving parts in contact with product; adjustable throughput by changing vibration amplitude or frequency</w:t>
      </w:r>
    </w:p>
    <w:p>
      <w:pPr>
        <w:pStyle w:val="ListParagraph"/>
        <w:numPr>
          <w:ilvl w:val="0"/>
          <w:numId w:val="2"/>
        </w:numPr>
        <w:spacing w:after="60" w:before="60"/>
      </w:pPr>
      <w:r>
        <w:rPr>
          <w:rFonts w:ascii="Arial" w:cs="Arial" w:eastAsia="Arial" w:hAnsi="Arial"/>
          <w:sz w:val="22"/>
          <w:szCs w:val="22"/>
        </w:rPr>
        <w:t xml:space="preserve">Disadvantages: Limited conveying distance (typically &lt; 10 m); only for flat products — powders tend to vibrate off trough edges; higher noise level than belt conveyors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13.4 Hoists, Elevators, and Automated Guided Vehicles</w:t>
      </w:r>
    </w:p>
    <w:p>
      <w:pPr>
        <w:pStyle w:val="Heading3"/>
        <w:spacing w:after="100" w:before="200"/>
      </w:pPr>
      <w:r>
        <w:rPr>
          <w:rFonts w:ascii="Arial" w:cs="Arial" w:eastAsia="Arial" w:hAnsi="Arial"/>
          <w:b/>
          <w:bCs/>
          <w:color w:val="2E75B6"/>
          <w:sz w:val="24"/>
          <w:szCs w:val="24"/>
        </w:rPr>
        <w:t xml:space="preserve">13.4.1 Pharmaceutical Hoists and Elevators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Equipment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Principle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Construction</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Electric chain hoist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Electric motor drives chain through sprocket; hook and chain lift loads vertically; wall-mounted or on overhead monorail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Heavy-duty SS 316L hook and chain; IP65 motor for GMP wet areas; 125 kg to 20 tonne capacity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Lifting reactor lids; changing filter bags in ANFD; loading/unloading drum reactors; vessel maintenance</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Drum dumper / tipper</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Electro-hydraulic actuator tilts and inverts 200-litre drums; semi-automated; some designs with containment collar</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contact parts; sealed collar for contained drum discharge; drum clamp mechanism; loading ramp</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Discharging 200-L API drums into dispensing hoppers; transferring granules from drums to IBCs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elevator (service lift)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Motor-driven platform in shaft; vertical movement between floors; integrated into building structure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GMP-compliant interior (SS walls); HEPA-filtered air supply; two-door design (dirty side / clean side)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Material transport between floors in multi-storey pharmaceutical buildings; cold chain products between storage and manufacturing</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Scissor lift / hydraulic lift table</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Hydraulic cylinder raises and lowers platform; used for height adjustment at workstations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304 platform; load cells integrated for weighing; washdown-rated hydraulics; casters for mobility</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Height-adjustable dispensing stations; loading IBCs onto/off production lines; ergonomic material positioning</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13.4.2 Automated Guided Vehicles (AGVs)</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Automated Guided Vehicles (AGVs) in Pharmaceutical Plants</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AGV navigation systems, magnetic track following, laser guidance, pharmaceutical warehouse automation, GMP material tracking</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Automated Guided Vehicles (AGVs) are driverless, automatically guided transport vehicles used in pharmaceutical plants for automated, reproducible, documented material transport without manual intervention. AGVs eliminate human error in material routing, provide electronic audit trail of all material movements, and allow 24/7 operation.</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39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AGV Feature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3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GMP Advantage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Navigation systems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Magnetic strip following (simple, reliable); laser guided (no floor modifications needed); vision-based (camera navigation); natural navigation (map-based)</w:t>
            </w:r>
          </w:p>
        </w:tc>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material misrouting — programmed routes only; automatic barrier if blocked</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Payload and design</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Fork AGVs (carry pallets 500 kg–5 tonne); tugger AGVs (pull train of carts); unit-load AGVs (carry IBCs, drums, boxes)</w:t>
            </w:r>
          </w:p>
        </w:tc>
        <w:tc>
          <w:tcPr>
            <w:tcW w:type="dxa" w:w="3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Standardised, reproducible load handling — no manual improvisation</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Traffic management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Centralised control system manages multiple AGVs; prevents collisions; optimises routing</w:t>
            </w:r>
          </w:p>
        </w:tc>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Complete electronic material flow record — batch traceability; 21 CFR Part 11 compliant data</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Integration with MES</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AGVs receive movement instructions from Manufacturing Execution System (MES); scan barcodes/RFID at pickup and delivery; update inventory automatically</w:t>
            </w:r>
          </w:p>
        </w:tc>
        <w:tc>
          <w:tcPr>
            <w:tcW w:type="dxa" w:w="3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Electronic material tracking eliminates manual documentation errors; real-time inventory</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Safety systems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Laser scanners on all sides; emergency stop if person detected in path; warning lights and sounds</w:t>
            </w:r>
          </w:p>
        </w:tc>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Operator safety; no material damage from collision</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13.5 Pharmaceutical Bins, IBCs, and Silos</w:t>
      </w:r>
    </w:p>
    <w:p>
      <w:pPr>
        <w:pStyle w:val="Heading3"/>
        <w:spacing w:after="100" w:before="200"/>
      </w:pPr>
      <w:r>
        <w:rPr>
          <w:rFonts w:ascii="Arial" w:cs="Arial" w:eastAsia="Arial" w:hAnsi="Arial"/>
          <w:b/>
          <w:bCs/>
          <w:color w:val="2E75B6"/>
          <w:sz w:val="24"/>
          <w:szCs w:val="24"/>
        </w:rPr>
        <w:t xml:space="preserve">13.5.1 Intermediate Bulk Containers (IBCs)</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Intermediate Bulk Containers (IBCs) — Pharmaceutical Bulk Solid Handling</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IBC design features, split-butterfly valve, lifting frame, contained discharge, pharmaceutical blend IBC blending capability</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Intermediate Bulk Containers (IBCs) are cuboid or octagonal vessels (typically 500–2000 litres) used for storing, transporting, and dosing bulk pharmaceutical powders and granules within a manufacturing plant. The IBC has become the standard handling unit in modern pharmaceutical manufacturing — it allows contained, GMP-compliant, traceable transfer of pharmaceutical materials between process steps.</w:t>
      </w:r>
    </w:p>
    <w:p>
      <w:pPr>
        <w:spacing w:after="6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0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IBC Feature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Specification/Description</w:t>
            </w:r>
          </w:p>
        </w:tc>
        <w:tc>
          <w:tcPr>
            <w:tcW w:type="dxa" w:w="4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GMP Rationale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Construction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internal surfaces; Ra &lt; 0.8 µm; all-welded or clamp-connected (no threads inside); rounded corners; fully drainable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Easy cleaning; no product entrapment; validated CIP cleaning; no cross-contamination</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Split-butterfly valve (SBV)</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Discharge valve at IBC bottom; active half on IBC + passive half on downstream equipment; when docked, valve opens without product exposure — contained discharge</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Zero-exposure discharge for potent compounds; OEB 4/5 compliant; no open powder handling</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Lifting frame / IBC blender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IBCs can be placed in a tumbling IBC blender frame — IBC blended in the container; no product transfer needed — blend where it will be stored/transported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Eliminates transfer step; reduces cross-contamination risk; single container from blending to compression</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Identification and tracking</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Stainless steel nameplate + RFID tag on each IBC; electronic tracking in MES; status label (quarantine / approved / rejected)</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Prevents mix-ups; complete traceability; GMP documentation</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Single-use liner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LDPE or EVOH bag liner inside IBC; disposable after use; prevents cross-contamination between products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Ideal for multi-product facilities; eliminates cleaning validation for potent/sensitising compounds; cost-effective</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13.5.2 Silos and Large Storage Vessels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3200"/>
        <w:gridCol w:w="3400"/>
      </w:tblGrid>
      <w:tr>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Capacity</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Construction</w:t>
            </w:r>
          </w:p>
        </w:tc>
        <w:tc>
          <w:tcPr>
            <w:tcW w:type="dxa" w:w="3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silo</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5,000–100,000 litres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Vertical cylindrical SS 316L vessel; conical bottom (60° cone for free-flowing materials); aeration pads for cohesive powders; top-mounted HEPA filter and vent; load cells for continuous inventory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Storage of large excipient volumes — lactose, microcrystalline cellulose, maize starch; outdoor installation with weather insulation</w:t>
            </w:r>
          </w:p>
        </w:tc>
      </w:tr>
      <w:tr>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Cone valve silo</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500–10,000 litres</w:t>
            </w:r>
          </w:p>
        </w:tc>
        <w:tc>
          <w:tcPr>
            <w:tcW w:type="dxa" w:w="3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Silo with central cone discharge valve; concentric inner cone creates mass flow — all material moves; prevents segregation and preferential flow</w:t>
            </w:r>
          </w:p>
        </w:tc>
        <w:tc>
          <w:tcPr>
            <w:tcW w:type="dxa" w:w="3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Segregation-sensitive blends; fine powder storage; direct discharge to tablet press hoppers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FIFO (First In First Out) storage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Any size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Designed so oldest material is always discharged first; funnel-flow silos use rotating deflector or mass-flow cone to ensure FIFO</w:t>
            </w:r>
          </w:p>
        </w:tc>
        <w:tc>
          <w:tcPr>
            <w:tcW w:type="dxa" w:w="3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Excipient management (expiry date compliance); active ingredients with shelf-life limits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13.6 Cold Chain Logistics for Pharmaceutical Products</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Pharmaceutical Cold Chain — Temperature-Controlled Storage and Distribution</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Cold chain stages from manufacturer to patient, temperature monitoring, cold room design, refrigerated transport, excursion management</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Cold chain is the temperature-controlled supply chain for pharmaceutical products that are sensitive to temperature excursions. Maintaining the cold chain is a critical GMP requirement — temperature excursions during storage or transport can cause irreversible degradation of the pharmaceutical product, rendering it ineffective or potentially harmful to patients.</w:t>
      </w:r>
    </w:p>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500"/>
        <w:gridCol w:w="33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Temperature Zone</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Range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Products Stored</w:t>
            </w:r>
          </w:p>
        </w:tc>
        <w:tc>
          <w:tcPr>
            <w:tcW w:type="dxa" w:w="3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Equipment Used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Refrigerated (cool)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2–8°C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Vaccines, biologics (insulin, growth hormone, mAbs), certain oral liquids, some APIs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refrigerators (validated 2–8°C); cold rooms (walk-in, 8–25 m³); refrigerated trucks</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Frozen (-20°C)</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−25 to −10°C</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Plasma, certain vaccines (live virus vaccines, varicella), some diagnostic reagents</w:t>
            </w:r>
          </w:p>
        </w:tc>
        <w:tc>
          <w:tcPr>
            <w:tcW w:type="dxa" w:w="3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Ultra-low temperature freezers; frozen storage warehouses; dry ice transport containers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Ultra-cold (-80°C)</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−90 to −70°C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mRNA vaccines (Moderna COVID-19 was −20°C to −25°C; Pfizer/BioNTech was −90 to −60°C); cell therapy products; virus masters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Ultra-low temperature (ULT) freezers (-86°C); dry ice (-78°C) shippers; liquid nitrogen vapour-phase shippers</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Controlled Room Temperature</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15–25°C or 15–30°C</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Most tablets, capsules, non-refrigerated liquids, generics</w:t>
            </w:r>
          </w:p>
        </w:tc>
        <w:tc>
          <w:tcPr>
            <w:tcW w:type="dxa" w:w="3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Air-conditioned warehouses; temperature monitoring system; ICH Zone II (India) = 25°C/60% RH</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13.6.1 Cold Chain Engineering Requirements</w:t>
      </w:r>
    </w:p>
    <w:p>
      <w:pPr>
        <w:pStyle w:val="ListParagraph"/>
        <w:numPr>
          <w:ilvl w:val="0"/>
          <w:numId w:val="2"/>
        </w:numPr>
        <w:spacing w:after="60" w:before="60"/>
      </w:pPr>
      <w:r>
        <w:rPr>
          <w:rFonts w:ascii="Arial" w:cs="Arial" w:eastAsia="Arial" w:hAnsi="Arial"/>
          <w:sz w:val="22"/>
          <w:szCs w:val="22"/>
        </w:rPr>
        <w:t xml:space="preserve">Cold rooms: validated temperature distribution mapping (min. 9 sensors); 24/7 temperature monitoring with alarm to on-call personnel; backup generator; emergency refrigeration; access control</w:t>
      </w:r>
    </w:p>
    <w:p>
      <w:pPr>
        <w:pStyle w:val="ListParagraph"/>
        <w:numPr>
          <w:ilvl w:val="0"/>
          <w:numId w:val="2"/>
        </w:numPr>
        <w:spacing w:after="60" w:before="60"/>
      </w:pPr>
      <w:r>
        <w:rPr>
          <w:rFonts w:ascii="Arial" w:cs="Arial" w:eastAsia="Arial" w:hAnsi="Arial"/>
          <w:sz w:val="22"/>
          <w:szCs w:val="22"/>
        </w:rPr>
        <w:t xml:space="preserve">Refrigerated transport: validated containers (passive insulated shippers with phase-change materials, or active refrigeration units); temperature loggers in every shipment; GDP (Good Distribution Practice) compliant</w:t>
      </w:r>
    </w:p>
    <w:p>
      <w:pPr>
        <w:pStyle w:val="ListParagraph"/>
        <w:numPr>
          <w:ilvl w:val="0"/>
          <w:numId w:val="2"/>
        </w:numPr>
        <w:spacing w:after="60" w:before="60"/>
      </w:pPr>
      <w:r>
        <w:rPr>
          <w:rFonts w:ascii="Arial" w:cs="Arial" w:eastAsia="Arial" w:hAnsi="Arial"/>
          <w:sz w:val="22"/>
          <w:szCs w:val="22"/>
        </w:rPr>
        <w:t xml:space="preserve">Temperature excursion management: pre-defined Mean Kinetic Temperature (MKT) calculation for excursion assessment; excursion reporting; stability impact assessment using Arrhenius model; decision tree for accept/reject/retest</w:t>
      </w:r>
    </w:p>
    <w:p>
      <w:pPr>
        <w:pStyle w:val="ListParagraph"/>
        <w:numPr>
          <w:ilvl w:val="0"/>
          <w:numId w:val="2"/>
        </w:numPr>
        <w:spacing w:after="60" w:before="60"/>
      </w:pPr>
      <w:r>
        <w:rPr>
          <w:rFonts w:ascii="Arial" w:cs="Arial" w:eastAsia="Arial" w:hAnsi="Arial"/>
          <w:sz w:val="22"/>
          <w:szCs w:val="22"/>
        </w:rPr>
        <w:t xml:space="preserve">Cold chain qualification: IQ/OQ/PQ of cold rooms and refrigerated vehicles; temperature mapping studies; empty and loaded condition testing; door opening studies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13.7 Containment for Potent Pharmaceutical Compounds</w:t>
      </w:r>
    </w:p>
    <w:p>
      <w:pPr>
        <w:spacing w:after="80" w:before="80"/>
        <w:jc w:val="both"/>
      </w:pPr>
      <w:r>
        <w:rPr>
          <w:rFonts w:ascii="Arial" w:cs="Arial" w:eastAsia="Arial" w:hAnsi="Arial"/>
          <w:sz w:val="22"/>
          <w:szCs w:val="22"/>
        </w:rPr>
        <w:t xml:space="preserve">Potent active pharmaceutical ingredients (APIs) with Occupational Exposure Limits (OEL) at or below 10 µg/m³ (OEB 4) or 1 µg/m³ (OEB 5) require engineering controls to protect operators from inhalation, dermal, or ingestion exposure. Material handling of these compounds requires specialised containment solutions.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000"/>
        <w:gridCol w:w="3000"/>
        <w:gridCol w:w="15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OEB (Occupational Exposure Band)</w:t>
            </w:r>
          </w:p>
        </w:tc>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OEL Range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Examples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Material Handling Approach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OEB 1</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&gt; 1000 µg/m³</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Common excipients, low-potency APIs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Open handling; dust mask; standard ventilation</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OEB 2</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100–1000 µg/m³</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Most APIs; analgesics, antibiotics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Local exhaust ventilation (LEV); dust cabinet; gloves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OEB 3</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10–100 µg/m³</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Potent steroids, beta-blockers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Downflow booth; full-face respirator; contained transfers</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OEB 4</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1–10 µg/m³</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Cytotoxic drugs, potent hormones, some biologics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Isolator or glove box; split butterfly valves; contained dispensing</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OEB 5</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1 µg/m³</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Highly potent cytotoxics (taxanes, vinca alkaloids), highly active hormones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Full pharmaceutical isolator; single-use systems; HEPA exhaust; restricted access; continuous air monitoring</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13.1 — IBC Blending System at Cipla's Goa Tablet Plant</w:t>
      </w:r>
    </w:p>
    <w:p>
      <w:pPr>
        <w:shd w:fill="EBF3FB" w:val="clear"/>
        <w:spacing w:after="80" w:before="80"/>
        <w:jc w:val="both"/>
      </w:pPr>
      <w:r>
        <w:rPr>
          <w:rFonts w:ascii="Arial" w:cs="Arial" w:eastAsia="Arial" w:hAnsi="Arial"/>
          <w:b/>
          <w:bCs/>
          <w:sz w:val="22"/>
          <w:szCs w:val="22"/>
        </w:rPr>
        <w:t xml:space="preserve">Product: Multiple tablet products (Cetirizine, Metformin, Atorvastatin) | Handling system: IBC blending and transport | Company: Cipla Ltd., Goa</w:t>
      </w:r>
    </w:p>
    <w:p>
      <w:pPr>
        <w:shd w:fill="EBF3FB" w:val="clear"/>
        <w:spacing w:after="80" w:before="80"/>
        <w:jc w:val="both"/>
      </w:pPr>
      <w:r>
        <w:rPr>
          <w:rFonts w:ascii="Arial" w:cs="Arial" w:eastAsia="Arial" w:hAnsi="Arial"/>
          <w:sz w:val="22"/>
          <w:szCs w:val="22"/>
        </w:rPr>
        <w:t xml:space="preserve">Traditional pharmaceutical blending required: granules from FBD → transported in open containers to V-blender → blended → transferred to tablet press hopper. Each transfer step risked cross-contamination, dust exposure, and documentation gaps.</w:t>
      </w:r>
    </w:p>
    <w:p>
      <w:pPr>
        <w:shd w:fill="EBF3FB" w:val="clear"/>
        <w:spacing w:after="80" w:before="80"/>
        <w:jc w:val="both"/>
      </w:pPr>
      <w:r>
        <w:rPr>
          <w:rFonts w:ascii="Arial" w:cs="Arial" w:eastAsia="Arial" w:hAnsi="Arial"/>
          <w:sz w:val="22"/>
          <w:szCs w:val="22"/>
        </w:rPr>
        <w:t xml:space="preserve">Cipla's IBC system works differently: FBD discharges directly into labelled IBCs (1000 L each) via contained butterfly valve. IBCs transferred by AGV to IBC blending station. IBC placed in rotating IBC blender frame — tumbled for 15 minutes at 8 rpm. IBC then transferred directly to tablet press discharge station — IBC docked to press hopper via split-butterfly valve (SBV). Entire blend transferred without open exposure.</w:t>
      </w:r>
    </w:p>
    <w:p>
      <w:pPr>
        <w:shd w:fill="EBF3FB" w:val="clear"/>
        <w:spacing w:after="80" w:before="80"/>
        <w:jc w:val="both"/>
      </w:pPr>
      <w:r>
        <w:rPr>
          <w:rFonts w:ascii="Arial" w:cs="Arial" w:eastAsia="Arial" w:hAnsi="Arial"/>
          <w:sz w:val="22"/>
          <w:szCs w:val="22"/>
        </w:rPr>
        <w:t xml:space="preserve">GMP advantages quantified by Cipla validation team:</w:t>
      </w:r>
    </w:p>
    <w:p>
      <w:pPr>
        <w:shd w:fill="EBF3FB" w:val="clear"/>
        <w:spacing w:after="80" w:before="80"/>
        <w:jc w:val="both"/>
      </w:pPr>
      <w:r>
        <w:rPr>
          <w:rFonts w:ascii="Arial" w:cs="Arial" w:eastAsia="Arial" w:hAnsi="Arial"/>
          <w:sz w:val="22"/>
          <w:szCs w:val="22"/>
        </w:rPr>
        <w:t xml:space="preserve">Cross-contamination risk: Product carryover reduced from 1500 ppm (open transfers) to &lt; 0.1 ppm (IBC SBV system) — 15,000-fold reduction</w:t>
      </w:r>
    </w:p>
    <w:p>
      <w:pPr>
        <w:shd w:fill="EBF3FB" w:val="clear"/>
        <w:spacing w:after="80" w:before="80"/>
        <w:jc w:val="both"/>
      </w:pPr>
      <w:r>
        <w:rPr>
          <w:rFonts w:ascii="Arial" w:cs="Arial" w:eastAsia="Arial" w:hAnsi="Arial"/>
          <w:sz w:val="22"/>
          <w:szCs w:val="22"/>
        </w:rPr>
        <w:t xml:space="preserve">Documentation: Every IBC scanned at each location — RFID provides complete electronic audit trail — no manual entries for transfer steps</w:t>
      </w:r>
    </w:p>
    <w:p>
      <w:pPr>
        <w:shd w:fill="EBF3FB" w:val="clear"/>
        <w:spacing w:after="80" w:before="80"/>
        <w:jc w:val="both"/>
      </w:pPr>
      <w:r>
        <w:rPr>
          <w:rFonts w:ascii="Arial" w:cs="Arial" w:eastAsia="Arial" w:hAnsi="Arial"/>
          <w:sz w:val="22"/>
          <w:szCs w:val="22"/>
        </w:rPr>
        <w:t xml:space="preserve">OOS events related to material handling: Reduced from 12 per year (open system) to 0 over 3 years (IBC system)</w:t>
      </w:r>
    </w:p>
    <w:p>
      <w:pPr>
        <w:shd w:fill="EBF3FB" w:val="clear"/>
        <w:spacing w:after="80" w:before="80"/>
        <w:jc w:val="both"/>
      </w:pPr>
      <w:r>
        <w:rPr>
          <w:rFonts w:ascii="Arial" w:cs="Arial" w:eastAsia="Arial" w:hAnsi="Arial"/>
          <w:sz w:val="22"/>
          <w:szCs w:val="22"/>
        </w:rPr>
        <w:t xml:space="preserve">Engineering lesson: The IBC system demonstrates the principle of designing quality into the process through engineering controls rather than relying on operator vigilance. The split-butterfly valve is a simple mechanical innovation that eliminates an entire category of GMP risk (open powder transfer) with no process disadvantage. This is engineering serving pharmaceutical quality directly.</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13</w:t>
      </w:r>
    </w:p>
    <w:p>
      <w:pPr>
        <w:shd w:fill="E2EFDA" w:val="clear"/>
        <w:spacing w:after="80" w:before="80"/>
        <w:jc w:val="both"/>
      </w:pPr>
      <w:r>
        <w:rPr>
          <w:rFonts w:ascii="Arial" w:cs="Arial" w:eastAsia="Arial" w:hAnsi="Arial"/>
          <w:sz w:val="22"/>
          <w:szCs w:val="22"/>
        </w:rPr>
        <w:t xml:space="preserve">1. Material handling is a GMP-critical activity — mistakes in material routing cause mix-ups, cross-contamination, and regulatory non-compliance. Material handling must be traceable (electronic audit trail) and contained.</w:t>
      </w:r>
    </w:p>
    <w:p>
      <w:pPr>
        <w:shd w:fill="E2EFDA" w:val="clear"/>
        <w:spacing w:after="80" w:before="80"/>
        <w:jc w:val="both"/>
      </w:pPr>
      <w:r>
        <w:rPr>
          <w:rFonts w:ascii="Arial" w:cs="Arial" w:eastAsia="Arial" w:hAnsi="Arial"/>
          <w:sz w:val="22"/>
          <w:szCs w:val="22"/>
        </w:rPr>
        <w:t xml:space="preserve">2. Belt conveyor: continuous belt over rollers; 0.05–2 m/s; for tablets, blisters, cartons in packaging lines; open design; easy integration with checkweigher, metal detector, vision inspection.</w:t>
      </w:r>
    </w:p>
    <w:p>
      <w:pPr>
        <w:shd w:fill="E2EFDA" w:val="clear"/>
        <w:spacing w:after="80" w:before="80"/>
        <w:jc w:val="both"/>
      </w:pPr>
      <w:r>
        <w:rPr>
          <w:rFonts w:ascii="Arial" w:cs="Arial" w:eastAsia="Arial" w:hAnsi="Arial"/>
          <w:sz w:val="22"/>
          <w:szCs w:val="22"/>
        </w:rPr>
        <w:t xml:space="preserve">3. Screw conveyor: rotating helical auger in closed trough or tube; horizontal/inclined/vertical; for powder and granule transfer; enclosed (dust-free); can degrade fragile granules — not for high-friability products.</w:t>
      </w:r>
    </w:p>
    <w:p>
      <w:pPr>
        <w:shd w:fill="E2EFDA" w:val="clear"/>
        <w:spacing w:after="80" w:before="80"/>
        <w:jc w:val="both"/>
      </w:pPr>
      <w:r>
        <w:rPr>
          <w:rFonts w:ascii="Arial" w:cs="Arial" w:eastAsia="Arial" w:hAnsi="Arial"/>
          <w:sz w:val="22"/>
          <w:szCs w:val="22"/>
        </w:rPr>
        <w:t xml:space="preserve">4. Pneumatic conveying: dense phase (high pressure, low velocity, 2–10 m/s) preferred for pharmaceutical API and fragile granules — minimises particle attrition. Vacuum pneumatic for contained transfer from open vessels.</w:t>
      </w:r>
    </w:p>
    <w:p>
      <w:pPr>
        <w:shd w:fill="E2EFDA" w:val="clear"/>
        <w:spacing w:after="80" w:before="80"/>
        <w:jc w:val="both"/>
      </w:pPr>
      <w:r>
        <w:rPr>
          <w:rFonts w:ascii="Arial" w:cs="Arial" w:eastAsia="Arial" w:hAnsi="Arial"/>
          <w:sz w:val="22"/>
          <w:szCs w:val="22"/>
        </w:rPr>
        <w:t xml:space="preserve">5. Vibrating conveyor: electromagnetic or unbalanced weight vibration drives material forward gently; ideal for fragile coated tablets, soft gelatin capsules, effervescent tablets; no mechanical contact with product.</w:t>
      </w:r>
    </w:p>
    <w:p>
      <w:pPr>
        <w:shd w:fill="E2EFDA" w:val="clear"/>
        <w:spacing w:after="80" w:before="80"/>
        <w:jc w:val="both"/>
      </w:pPr>
      <w:r>
        <w:rPr>
          <w:rFonts w:ascii="Arial" w:cs="Arial" w:eastAsia="Arial" w:hAnsi="Arial"/>
          <w:sz w:val="22"/>
          <w:szCs w:val="22"/>
        </w:rPr>
        <w:t xml:space="preserve">6. IBC (Intermediate Bulk Container): standard pharmaceutical bulk handling unit (500–2000 L); SS 316L Ra &lt; 0.8 µm; split-butterfly valve (SBV) for contained discharge; can be blended in IBC blender without product transfer.</w:t>
      </w:r>
    </w:p>
    <w:p>
      <w:pPr>
        <w:shd w:fill="E2EFDA" w:val="clear"/>
        <w:spacing w:after="80" w:before="80"/>
        <w:jc w:val="both"/>
      </w:pPr>
      <w:r>
        <w:rPr>
          <w:rFonts w:ascii="Arial" w:cs="Arial" w:eastAsia="Arial" w:hAnsi="Arial"/>
          <w:sz w:val="22"/>
          <w:szCs w:val="22"/>
        </w:rPr>
        <w:t xml:space="preserve">7. Split-butterfly valve (SBV): active half on IBC + passive half on downstream equipment; when docked, valve opens without powder exposure — the fundamental innovation enabling contained powder handling for OEB 4/5 compounds.</w:t>
      </w:r>
    </w:p>
    <w:p>
      <w:pPr>
        <w:shd w:fill="E2EFDA" w:val="clear"/>
        <w:spacing w:after="80" w:before="80"/>
        <w:jc w:val="both"/>
      </w:pPr>
      <w:r>
        <w:rPr>
          <w:rFonts w:ascii="Arial" w:cs="Arial" w:eastAsia="Arial" w:hAnsi="Arial"/>
          <w:sz w:val="22"/>
          <w:szCs w:val="22"/>
        </w:rPr>
        <w:t xml:space="preserve">8. Silos: large excipient storage (5,000–100,000 L); cone-bottom for mass flow; load cells for inventory; HEPA vent; cone-valve silos prevent segregation of blends.</w:t>
      </w:r>
    </w:p>
    <w:p>
      <w:pPr>
        <w:shd w:fill="E2EFDA" w:val="clear"/>
        <w:spacing w:after="80" w:before="80"/>
        <w:jc w:val="both"/>
      </w:pPr>
      <w:r>
        <w:rPr>
          <w:rFonts w:ascii="Arial" w:cs="Arial" w:eastAsia="Arial" w:hAnsi="Arial"/>
          <w:sz w:val="22"/>
          <w:szCs w:val="22"/>
        </w:rPr>
        <w:t xml:space="preserve">9. Cold chain: refrigerated (2–8°C) for biologics and vaccines; frozen (−20°C) for plasma and some vaccines; ultra-cold (−80°C) for cell therapy and mRNA vaccines; all require validated temperature monitoring and excursion management.</w:t>
      </w:r>
    </w:p>
    <w:p>
      <w:pPr>
        <w:shd w:fill="E2EFDA" w:val="clear"/>
        <w:spacing w:after="80" w:before="80"/>
        <w:jc w:val="both"/>
      </w:pPr>
      <w:r>
        <w:rPr>
          <w:rFonts w:ascii="Arial" w:cs="Arial" w:eastAsia="Arial" w:hAnsi="Arial"/>
          <w:sz w:val="22"/>
          <w:szCs w:val="22"/>
        </w:rPr>
        <w:t xml:space="preserve">10. OEB 4 (OEL 1–10 µg/m³) requires isolator or glove box plus split-butterfly valves. OEB 5 (OEL &lt; 1 µg/m³) requires full pharmaceutical isolator with HEPA exhaust, single-use systems, and continuous air monitoring.</w:t>
      </w:r>
    </w:p>
    <w:p>
      <w:pPr>
        <w:shd w:fill="E2EFDA" w:val="clear"/>
        <w:spacing w:after="80" w:before="80"/>
        <w:jc w:val="both"/>
      </w:pPr>
      <w:r>
        <w:rPr>
          <w:rFonts w:ascii="Arial" w:cs="Arial" w:eastAsia="Arial" w:hAnsi="Arial"/>
          <w:sz w:val="22"/>
          <w:szCs w:val="22"/>
        </w:rPr>
        <w:t xml:space="preserve">11. AGVs: driverless, programmed-route vehicles; RFID/barcode scanning at each transfer; integrates with MES for electronic material tracking; eliminates human routing errors; GMP data integrity compliance.</w:t>
      </w:r>
    </w:p>
    <w:p>
      <w:pPr>
        <w:shd w:fill="E2EFDA" w:val="clear"/>
        <w:spacing w:after="80" w:before="80"/>
        <w:jc w:val="both"/>
      </w:pPr>
      <w:r>
        <w:rPr>
          <w:rFonts w:ascii="Arial" w:cs="Arial" w:eastAsia="Arial" w:hAnsi="Arial"/>
          <w:sz w:val="22"/>
          <w:szCs w:val="22"/>
        </w:rPr>
        <w:t xml:space="preserve">12. IBC blending eliminates separate blending vessel + transfer steps — granules discharge from FBD into IBC, blend in IBC blender, discharge from IBC directly to tablet press via SBV — three transfer steps replaced by zero open transfers.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13</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In pharmaceutical manufacturing, material handling is considered a GMP-critical activity because:</w:t>
      </w:r>
    </w:p>
    <w:p>
      <w:pPr>
        <w:pStyle w:val="ListParagraph"/>
        <w:numPr>
          <w:ilvl w:val="0"/>
          <w:numId w:val="2"/>
        </w:numPr>
        <w:spacing w:after="60" w:before="60"/>
      </w:pPr>
      <w:r>
        <w:rPr>
          <w:rFonts w:ascii="Arial" w:cs="Arial" w:eastAsia="Arial" w:hAnsi="Arial"/>
          <w:sz w:val="22"/>
          <w:szCs w:val="22"/>
        </w:rPr>
        <w:t xml:space="preserve">(A) Material handling equipment is the most expensive in the plant</w:t>
      </w:r>
    </w:p>
    <w:p>
      <w:pPr>
        <w:pStyle w:val="ListParagraph"/>
        <w:numPr>
          <w:ilvl w:val="0"/>
          <w:numId w:val="2"/>
        </w:numPr>
        <w:spacing w:after="60" w:before="60"/>
      </w:pPr>
      <w:r>
        <w:rPr>
          <w:rFonts w:ascii="Arial" w:cs="Arial" w:eastAsia="Arial" w:hAnsi="Arial"/>
          <w:sz w:val="22"/>
          <w:szCs w:val="22"/>
        </w:rPr>
        <w:t xml:space="preserve">(B) Errors in material routing, identification, or containment can cause product mix-ups, cross-contamination, dosing errors, and patient safety risks</w:t>
      </w:r>
    </w:p>
    <w:p>
      <w:pPr>
        <w:pStyle w:val="ListParagraph"/>
        <w:numPr>
          <w:ilvl w:val="0"/>
          <w:numId w:val="2"/>
        </w:numPr>
        <w:spacing w:after="60" w:before="60"/>
      </w:pPr>
      <w:r>
        <w:rPr>
          <w:rFonts w:ascii="Arial" w:cs="Arial" w:eastAsia="Arial" w:hAnsi="Arial"/>
          <w:sz w:val="22"/>
          <w:szCs w:val="22"/>
        </w:rPr>
        <w:t xml:space="preserve">(C) Material handling determines the speed of the manufacturing process only</w:t>
      </w:r>
    </w:p>
    <w:p>
      <w:pPr>
        <w:pStyle w:val="ListParagraph"/>
        <w:numPr>
          <w:ilvl w:val="0"/>
          <w:numId w:val="2"/>
        </w:numPr>
        <w:spacing w:after="60" w:before="60"/>
      </w:pPr>
      <w:r>
        <w:rPr>
          <w:rFonts w:ascii="Arial" w:cs="Arial" w:eastAsia="Arial" w:hAnsi="Arial"/>
          <w:sz w:val="22"/>
          <w:szCs w:val="22"/>
        </w:rPr>
        <w:t xml:space="preserve">(D) Material handling is regulated only for sterile products</w:t>
      </w:r>
    </w:p>
    <w:p>
      <w:pPr>
        <w:spacing w:after="80" w:before="80"/>
        <w:jc w:val="both"/>
      </w:pPr>
      <w:r>
        <w:rPr>
          <w:rFonts w:ascii="Arial" w:cs="Arial" w:eastAsia="Arial" w:hAnsi="Arial"/>
          <w:sz w:val="22"/>
          <w:szCs w:val="22"/>
        </w:rPr>
        <w:t xml:space="preserve">Answer: (B) | Multiple GMP failure modes in material handling: mix-up of ingredients (wrong material to process step → wrong product); cross-contamination (residual product from previous batch contaminating next); loss of containment for potent APIs (operator safety); documentation gaps (no audit trail of material movement → regulatory non-compliance). All are linked to patient harm potential.</w:t>
      </w:r>
    </w:p>
    <w:p>
      <w:pPr>
        <w:spacing w:after="60" w:before="60"/>
      </w:pPr>
      <w:r>
        <w:t xml:space="preserve"/>
      </w:r>
    </w:p>
    <w:p>
      <w:pPr>
        <w:spacing w:after="80" w:before="80"/>
        <w:jc w:val="both"/>
      </w:pPr>
      <w:r>
        <w:rPr>
          <w:rFonts w:ascii="Arial" w:cs="Arial" w:eastAsia="Arial" w:hAnsi="Arial"/>
          <w:b/>
          <w:bCs/>
          <w:sz w:val="22"/>
          <w:szCs w:val="22"/>
        </w:rPr>
        <w:t xml:space="preserve">Q2. Dense-phase pneumatic conveying is preferred over dilute-phase for pharmaceutical API transfer because:</w:t>
      </w:r>
    </w:p>
    <w:p>
      <w:pPr>
        <w:pStyle w:val="ListParagraph"/>
        <w:numPr>
          <w:ilvl w:val="0"/>
          <w:numId w:val="2"/>
        </w:numPr>
        <w:spacing w:after="60" w:before="60"/>
      </w:pPr>
      <w:r>
        <w:rPr>
          <w:rFonts w:ascii="Arial" w:cs="Arial" w:eastAsia="Arial" w:hAnsi="Arial"/>
          <w:sz w:val="22"/>
          <w:szCs w:val="22"/>
        </w:rPr>
        <w:t xml:space="preserve">(A) Dense phase is cheaper to install and operate</w:t>
      </w:r>
    </w:p>
    <w:p>
      <w:pPr>
        <w:pStyle w:val="ListParagraph"/>
        <w:numPr>
          <w:ilvl w:val="0"/>
          <w:numId w:val="2"/>
        </w:numPr>
        <w:spacing w:after="60" w:before="60"/>
      </w:pPr>
      <w:r>
        <w:rPr>
          <w:rFonts w:ascii="Arial" w:cs="Arial" w:eastAsia="Arial" w:hAnsi="Arial"/>
          <w:sz w:val="22"/>
          <w:szCs w:val="22"/>
        </w:rPr>
        <w:t xml:space="preserve">(B) Dense phase uses lower air velocity (2–10 m/s vs 15–30 m/s for dilute phase) — less particle-particle and particle-wall collision → less API attrition, degradation, and particle size change</w:t>
      </w:r>
    </w:p>
    <w:p>
      <w:pPr>
        <w:pStyle w:val="ListParagraph"/>
        <w:numPr>
          <w:ilvl w:val="0"/>
          <w:numId w:val="2"/>
        </w:numPr>
        <w:spacing w:after="60" w:before="60"/>
      </w:pPr>
      <w:r>
        <w:rPr>
          <w:rFonts w:ascii="Arial" w:cs="Arial" w:eastAsia="Arial" w:hAnsi="Arial"/>
          <w:sz w:val="22"/>
          <w:szCs w:val="22"/>
        </w:rPr>
        <w:t xml:space="preserve">(C) Dense phase requires no air compressor</w:t>
      </w:r>
    </w:p>
    <w:p>
      <w:pPr>
        <w:pStyle w:val="ListParagraph"/>
        <w:numPr>
          <w:ilvl w:val="0"/>
          <w:numId w:val="2"/>
        </w:numPr>
        <w:spacing w:after="60" w:before="60"/>
      </w:pPr>
      <w:r>
        <w:rPr>
          <w:rFonts w:ascii="Arial" w:cs="Arial" w:eastAsia="Arial" w:hAnsi="Arial"/>
          <w:sz w:val="22"/>
          <w:szCs w:val="22"/>
        </w:rPr>
        <w:t xml:space="preserve">(D) Dense phase can convey larger volumes than dilute phase</w:t>
      </w:r>
    </w:p>
    <w:p>
      <w:pPr>
        <w:spacing w:after="80" w:before="80"/>
        <w:jc w:val="both"/>
      </w:pPr>
      <w:r>
        <w:rPr>
          <w:rFonts w:ascii="Arial" w:cs="Arial" w:eastAsia="Arial" w:hAnsi="Arial"/>
          <w:sz w:val="22"/>
          <w:szCs w:val="22"/>
        </w:rPr>
        <w:t xml:space="preserve">Answer: (B) | API physical properties (particle size, polymorphic form, crystal habit) affect product performance. High-velocity dilute-phase conveying can change particle size (attrition of larger particles → fines generation) and cause API degradation through mechanical stress. Dense-phase's lower velocity (plug flow at 2–10 m/s) handles API particles gently — essential for maintaining the physical characteristics established during crystallisation and milling.</w:t>
      </w:r>
    </w:p>
    <w:p>
      <w:pPr>
        <w:spacing w:after="60" w:before="60"/>
      </w:pPr>
      <w:r>
        <w:t xml:space="preserve"/>
      </w:r>
    </w:p>
    <w:p>
      <w:pPr>
        <w:spacing w:after="80" w:before="80"/>
        <w:jc w:val="both"/>
      </w:pPr>
      <w:r>
        <w:rPr>
          <w:rFonts w:ascii="Arial" w:cs="Arial" w:eastAsia="Arial" w:hAnsi="Arial"/>
          <w:b/>
          <w:bCs/>
          <w:sz w:val="22"/>
          <w:szCs w:val="22"/>
        </w:rPr>
        <w:t xml:space="preserve">Q3. The split-butterfly valve (SBV) in pharmaceutical IBC systems is important because:</w:t>
      </w:r>
    </w:p>
    <w:p>
      <w:pPr>
        <w:pStyle w:val="ListParagraph"/>
        <w:numPr>
          <w:ilvl w:val="0"/>
          <w:numId w:val="2"/>
        </w:numPr>
        <w:spacing w:after="60" w:before="60"/>
      </w:pPr>
      <w:r>
        <w:rPr>
          <w:rFonts w:ascii="Arial" w:cs="Arial" w:eastAsia="Arial" w:hAnsi="Arial"/>
          <w:sz w:val="22"/>
          <w:szCs w:val="22"/>
        </w:rPr>
        <w:t xml:space="preserve">(A) It controls the flow rate of liquid from the IBC</w:t>
      </w:r>
    </w:p>
    <w:p>
      <w:pPr>
        <w:pStyle w:val="ListParagraph"/>
        <w:numPr>
          <w:ilvl w:val="0"/>
          <w:numId w:val="2"/>
        </w:numPr>
        <w:spacing w:after="60" w:before="60"/>
      </w:pPr>
      <w:r>
        <w:rPr>
          <w:rFonts w:ascii="Arial" w:cs="Arial" w:eastAsia="Arial" w:hAnsi="Arial"/>
          <w:sz w:val="22"/>
          <w:szCs w:val="22"/>
        </w:rPr>
        <w:t xml:space="preserve">(B) It allows contained, zero-exposure transfer of pharmaceutical powder from IBC to downstream equipment — the active half on the IBC and passive half on equipment dock and open together without powder being exposed to the environment</w:t>
      </w:r>
    </w:p>
    <w:p>
      <w:pPr>
        <w:pStyle w:val="ListParagraph"/>
        <w:numPr>
          <w:ilvl w:val="0"/>
          <w:numId w:val="2"/>
        </w:numPr>
        <w:spacing w:after="60" w:before="60"/>
      </w:pPr>
      <w:r>
        <w:rPr>
          <w:rFonts w:ascii="Arial" w:cs="Arial" w:eastAsia="Arial" w:hAnsi="Arial"/>
          <w:sz w:val="22"/>
          <w:szCs w:val="22"/>
        </w:rPr>
        <w:t xml:space="preserve">(C) It is used to open and close the IBC lid during filling</w:t>
      </w:r>
    </w:p>
    <w:p>
      <w:pPr>
        <w:pStyle w:val="ListParagraph"/>
        <w:numPr>
          <w:ilvl w:val="0"/>
          <w:numId w:val="2"/>
        </w:numPr>
        <w:spacing w:after="60" w:before="60"/>
      </w:pPr>
      <w:r>
        <w:rPr>
          <w:rFonts w:ascii="Arial" w:cs="Arial" w:eastAsia="Arial" w:hAnsi="Arial"/>
          <w:sz w:val="22"/>
          <w:szCs w:val="22"/>
        </w:rPr>
        <w:t xml:space="preserve">(D) It measures the weight of powder remaining in the IBC</w:t>
      </w:r>
    </w:p>
    <w:p>
      <w:pPr>
        <w:spacing w:after="80" w:before="80"/>
        <w:jc w:val="both"/>
      </w:pPr>
      <w:r>
        <w:rPr>
          <w:rFonts w:ascii="Arial" w:cs="Arial" w:eastAsia="Arial" w:hAnsi="Arial"/>
          <w:sz w:val="22"/>
          <w:szCs w:val="22"/>
        </w:rPr>
        <w:t xml:space="preserve">Answer: (B) | SBV principle: active half (on IBC) + passive half (on receiving equipment) are clamped together before either disc opens. When they are docked, both discs open simultaneously — powder flows through without any point of exposure to the surrounding air. After transfer, both discs close simultaneously before unclamping. This is the engineering solution to the challenge of discharging potent powder without dust emission or operator exposure.</w:t>
      </w:r>
    </w:p>
    <w:p>
      <w:pPr>
        <w:spacing w:after="60" w:before="60"/>
      </w:pPr>
      <w:r>
        <w:t xml:space="preserve"/>
      </w:r>
    </w:p>
    <w:p>
      <w:pPr>
        <w:spacing w:after="80" w:before="80"/>
        <w:jc w:val="both"/>
      </w:pPr>
      <w:r>
        <w:rPr>
          <w:rFonts w:ascii="Arial" w:cs="Arial" w:eastAsia="Arial" w:hAnsi="Arial"/>
          <w:b/>
          <w:bCs/>
          <w:sz w:val="22"/>
          <w:szCs w:val="22"/>
        </w:rPr>
        <w:t xml:space="preserve">Q4. Vibrating conveyors are preferred for transporting film-coated tablets compared to belt conveyors because:</w:t>
      </w:r>
    </w:p>
    <w:p>
      <w:pPr>
        <w:pStyle w:val="ListParagraph"/>
        <w:numPr>
          <w:ilvl w:val="0"/>
          <w:numId w:val="2"/>
        </w:numPr>
        <w:spacing w:after="60" w:before="60"/>
      </w:pPr>
      <w:r>
        <w:rPr>
          <w:rFonts w:ascii="Arial" w:cs="Arial" w:eastAsia="Arial" w:hAnsi="Arial"/>
          <w:sz w:val="22"/>
          <w:szCs w:val="22"/>
        </w:rPr>
        <w:t xml:space="preserve">(A) Vibrating conveyors are faster than belt conveyors for this application</w:t>
      </w:r>
    </w:p>
    <w:p>
      <w:pPr>
        <w:pStyle w:val="ListParagraph"/>
        <w:numPr>
          <w:ilvl w:val="0"/>
          <w:numId w:val="2"/>
        </w:numPr>
        <w:spacing w:after="60" w:before="60"/>
      </w:pPr>
      <w:r>
        <w:rPr>
          <w:rFonts w:ascii="Arial" w:cs="Arial" w:eastAsia="Arial" w:hAnsi="Arial"/>
          <w:sz w:val="22"/>
          <w:szCs w:val="22"/>
        </w:rPr>
        <w:t xml:space="preserve">(B) The gentle forward vibration motion of vibrating conveyors does not cause tablet-to-tablet or tablet-to-conveyor surface impacts that would chip or damage the film coating — essential for maintaining tablet appearance specification</w:t>
      </w:r>
    </w:p>
    <w:p>
      <w:pPr>
        <w:pStyle w:val="ListParagraph"/>
        <w:numPr>
          <w:ilvl w:val="0"/>
          <w:numId w:val="2"/>
        </w:numPr>
        <w:spacing w:after="60" w:before="60"/>
      </w:pPr>
      <w:r>
        <w:rPr>
          <w:rFonts w:ascii="Arial" w:cs="Arial" w:eastAsia="Arial" w:hAnsi="Arial"/>
          <w:sz w:val="22"/>
          <w:szCs w:val="22"/>
        </w:rPr>
        <w:t xml:space="preserve">(C) Vibrating conveyors can handle wet tablets during coating</w:t>
      </w:r>
    </w:p>
    <w:p>
      <w:pPr>
        <w:pStyle w:val="ListParagraph"/>
        <w:numPr>
          <w:ilvl w:val="0"/>
          <w:numId w:val="2"/>
        </w:numPr>
        <w:spacing w:after="60" w:before="60"/>
      </w:pPr>
      <w:r>
        <w:rPr>
          <w:rFonts w:ascii="Arial" w:cs="Arial" w:eastAsia="Arial" w:hAnsi="Arial"/>
          <w:sz w:val="22"/>
          <w:szCs w:val="22"/>
        </w:rPr>
        <w:t xml:space="preserve">(D) Vibrating conveyors are easier to clean than belt conveyors</w:t>
      </w:r>
    </w:p>
    <w:p>
      <w:pPr>
        <w:spacing w:after="80" w:before="80"/>
        <w:jc w:val="both"/>
      </w:pPr>
      <w:r>
        <w:rPr>
          <w:rFonts w:ascii="Arial" w:cs="Arial" w:eastAsia="Arial" w:hAnsi="Arial"/>
          <w:sz w:val="22"/>
          <w:szCs w:val="22"/>
        </w:rPr>
        <w:t xml:space="preserve">Answer: (B) | Film-coated tablets are susceptible to chipping and peeling of the coating film at edges and embossing. Belt conveyors with joins, idler rollers, and belt return mechanisms can create impact points where tablets are damaged. Vibrating conveyors: smooth SS trough surface; gentle forward movement by vibration (no mechanical nip points); controlled amplitude and frequency. Standard for tablet inspection lines, blister feeder, and finished tablet handling.</w:t>
      </w:r>
    </w:p>
    <w:p>
      <w:pPr>
        <w:spacing w:after="60" w:before="60"/>
      </w:pPr>
      <w:r>
        <w:t xml:space="preserve"/>
      </w:r>
    </w:p>
    <w:p>
      <w:pPr>
        <w:spacing w:after="80" w:before="80"/>
        <w:jc w:val="both"/>
      </w:pPr>
      <w:r>
        <w:rPr>
          <w:rFonts w:ascii="Arial" w:cs="Arial" w:eastAsia="Arial" w:hAnsi="Arial"/>
          <w:b/>
          <w:bCs/>
          <w:sz w:val="22"/>
          <w:szCs w:val="22"/>
        </w:rPr>
        <w:t xml:space="preserve">Q5. The Occupational Exposure Band (OEB) system classifies pharmaceutical compounds to determine:</w:t>
      </w:r>
    </w:p>
    <w:p>
      <w:pPr>
        <w:pStyle w:val="ListParagraph"/>
        <w:numPr>
          <w:ilvl w:val="0"/>
          <w:numId w:val="2"/>
        </w:numPr>
        <w:spacing w:after="60" w:before="60"/>
      </w:pPr>
      <w:r>
        <w:rPr>
          <w:rFonts w:ascii="Arial" w:cs="Arial" w:eastAsia="Arial" w:hAnsi="Arial"/>
          <w:sz w:val="22"/>
          <w:szCs w:val="22"/>
        </w:rPr>
        <w:t xml:space="preserve">(A) The appropriate packaging material for the final product</w:t>
      </w:r>
    </w:p>
    <w:p>
      <w:pPr>
        <w:pStyle w:val="ListParagraph"/>
        <w:numPr>
          <w:ilvl w:val="0"/>
          <w:numId w:val="2"/>
        </w:numPr>
        <w:spacing w:after="60" w:before="60"/>
      </w:pPr>
      <w:r>
        <w:rPr>
          <w:rFonts w:ascii="Arial" w:cs="Arial" w:eastAsia="Arial" w:hAnsi="Arial"/>
          <w:sz w:val="22"/>
          <w:szCs w:val="22"/>
        </w:rPr>
        <w:t xml:space="preserve">(B) The level of engineering controls required for operator protection during handling — based on the compound's potency and Occupational Exposure Limit (OEL)</w:t>
      </w:r>
    </w:p>
    <w:p>
      <w:pPr>
        <w:pStyle w:val="ListParagraph"/>
        <w:numPr>
          <w:ilvl w:val="0"/>
          <w:numId w:val="2"/>
        </w:numPr>
        <w:spacing w:after="60" w:before="60"/>
      </w:pPr>
      <w:r>
        <w:rPr>
          <w:rFonts w:ascii="Arial" w:cs="Arial" w:eastAsia="Arial" w:hAnsi="Arial"/>
          <w:sz w:val="22"/>
          <w:szCs w:val="22"/>
        </w:rPr>
        <w:t xml:space="preserve">(C) The required storage temperature for the compound</w:t>
      </w:r>
    </w:p>
    <w:p>
      <w:pPr>
        <w:pStyle w:val="ListParagraph"/>
        <w:numPr>
          <w:ilvl w:val="0"/>
          <w:numId w:val="2"/>
        </w:numPr>
        <w:spacing w:after="60" w:before="60"/>
      </w:pPr>
      <w:r>
        <w:rPr>
          <w:rFonts w:ascii="Arial" w:cs="Arial" w:eastAsia="Arial" w:hAnsi="Arial"/>
          <w:sz w:val="22"/>
          <w:szCs w:val="22"/>
        </w:rPr>
        <w:t xml:space="preserve">(D) The required purity specification for the API</w:t>
      </w:r>
    </w:p>
    <w:p>
      <w:pPr>
        <w:spacing w:after="80" w:before="80"/>
        <w:jc w:val="both"/>
      </w:pPr>
      <w:r>
        <w:rPr>
          <w:rFonts w:ascii="Arial" w:cs="Arial" w:eastAsia="Arial" w:hAnsi="Arial"/>
          <w:sz w:val="22"/>
          <w:szCs w:val="22"/>
        </w:rPr>
        <w:t xml:space="preserve">Answer: (B) | OEB classification drives material handling design: OEB 1 (OEL &gt; 1000 µg/m³) — open handling with dust mask; OEB 4 (OEL 1–10 µg/m³) — full isolator, SBV, contained dispensing; OEB 5 (OEL &lt; 1 µg/m³) — pharmaceutical isolator, single-use, continuous air monitoring. The OEB is determined from toxicology data and dictates the complete engineering control hierarchy for every handling step from receipt to waste disposal.</w:t>
      </w:r>
    </w:p>
    <w:p>
      <w:pPr>
        <w:spacing w:after="60" w:before="60"/>
      </w:pPr>
      <w:r>
        <w:t xml:space="preserve"/>
      </w:r>
    </w:p>
    <w:p>
      <w:pPr>
        <w:spacing w:after="80" w:before="80"/>
        <w:jc w:val="both"/>
      </w:pPr>
      <w:r>
        <w:rPr>
          <w:rFonts w:ascii="Arial" w:cs="Arial" w:eastAsia="Arial" w:hAnsi="Arial"/>
          <w:b/>
          <w:bCs/>
          <w:sz w:val="22"/>
          <w:szCs w:val="22"/>
        </w:rPr>
        <w:t xml:space="preserve">Q6. IBC (Intermediate Bulk Container) blending in pharmaceutical manufacturing offers what advantage over conventional blending in a V-blender or double-cone blender?</w:t>
      </w:r>
    </w:p>
    <w:p>
      <w:pPr>
        <w:pStyle w:val="ListParagraph"/>
        <w:numPr>
          <w:ilvl w:val="0"/>
          <w:numId w:val="2"/>
        </w:numPr>
        <w:spacing w:after="60" w:before="60"/>
      </w:pPr>
      <w:r>
        <w:rPr>
          <w:rFonts w:ascii="Arial" w:cs="Arial" w:eastAsia="Arial" w:hAnsi="Arial"/>
          <w:sz w:val="22"/>
          <w:szCs w:val="22"/>
        </w:rPr>
        <w:t xml:space="preserve">(A) IBC blenders achieve better mixing uniformity than conventional blenders</w:t>
      </w:r>
    </w:p>
    <w:p>
      <w:pPr>
        <w:pStyle w:val="ListParagraph"/>
        <w:numPr>
          <w:ilvl w:val="0"/>
          <w:numId w:val="2"/>
        </w:numPr>
        <w:spacing w:after="60" w:before="60"/>
      </w:pPr>
      <w:r>
        <w:rPr>
          <w:rFonts w:ascii="Arial" w:cs="Arial" w:eastAsia="Arial" w:hAnsi="Arial"/>
          <w:sz w:val="22"/>
          <w:szCs w:val="22"/>
        </w:rPr>
        <w:t xml:space="preserve">(B) IBC blending eliminates the product transfer steps to and from the blender — the same container receives, blends, stores, and discharges the blend — dramatically reducing cross-contamination risk and transfer losses</w:t>
      </w:r>
    </w:p>
    <w:p>
      <w:pPr>
        <w:pStyle w:val="ListParagraph"/>
        <w:numPr>
          <w:ilvl w:val="0"/>
          <w:numId w:val="2"/>
        </w:numPr>
        <w:spacing w:after="60" w:before="60"/>
      </w:pPr>
      <w:r>
        <w:rPr>
          <w:rFonts w:ascii="Arial" w:cs="Arial" w:eastAsia="Arial" w:hAnsi="Arial"/>
          <w:sz w:val="22"/>
          <w:szCs w:val="22"/>
        </w:rPr>
        <w:t xml:space="preserve">(C) IBC blending is faster than conventional blending</w:t>
      </w:r>
    </w:p>
    <w:p>
      <w:pPr>
        <w:pStyle w:val="ListParagraph"/>
        <w:numPr>
          <w:ilvl w:val="0"/>
          <w:numId w:val="2"/>
        </w:numPr>
        <w:spacing w:after="60" w:before="60"/>
      </w:pPr>
      <w:r>
        <w:rPr>
          <w:rFonts w:ascii="Arial" w:cs="Arial" w:eastAsia="Arial" w:hAnsi="Arial"/>
          <w:sz w:val="22"/>
          <w:szCs w:val="22"/>
        </w:rPr>
        <w:t xml:space="preserve">(D) IBC blenders do not require cleaning between batches</w:t>
      </w:r>
    </w:p>
    <w:p>
      <w:pPr>
        <w:spacing w:after="80" w:before="80"/>
        <w:jc w:val="both"/>
      </w:pPr>
      <w:r>
        <w:rPr>
          <w:rFonts w:ascii="Arial" w:cs="Arial" w:eastAsia="Arial" w:hAnsi="Arial"/>
          <w:sz w:val="22"/>
          <w:szCs w:val="22"/>
        </w:rPr>
        <w:t xml:space="preserve">Answer: (B) | Conventional blending: FBD → open transfer → blender → open transfer → tablet press. Each transfer is a contamination risk point. IBC blending: FBD discharges into IBC (contained) → IBC placed in tumbling frame → blended in IBC → IBC docks to tablet press via SBV → blend discharged without opening. Entire blending-to-compression sequence with zero open product exposure.</w:t>
      </w:r>
    </w:p>
    <w:p>
      <w:pPr>
        <w:spacing w:after="60" w:before="60"/>
      </w:pPr>
      <w:r>
        <w:t xml:space="preserve"/>
      </w:r>
    </w:p>
    <w:p>
      <w:pPr>
        <w:spacing w:after="80" w:before="80"/>
        <w:jc w:val="both"/>
      </w:pPr>
      <w:r>
        <w:rPr>
          <w:rFonts w:ascii="Arial" w:cs="Arial" w:eastAsia="Arial" w:hAnsi="Arial"/>
          <w:b/>
          <w:bCs/>
          <w:sz w:val="22"/>
          <w:szCs w:val="22"/>
        </w:rPr>
        <w:t xml:space="preserve">Q7. Screw conveyors are NOT suitable for which of the following pharmaceutical materials?</w:t>
      </w:r>
    </w:p>
    <w:p>
      <w:pPr>
        <w:pStyle w:val="ListParagraph"/>
        <w:numPr>
          <w:ilvl w:val="0"/>
          <w:numId w:val="2"/>
        </w:numPr>
        <w:spacing w:after="60" w:before="60"/>
      </w:pPr>
      <w:r>
        <w:rPr>
          <w:rFonts w:ascii="Arial" w:cs="Arial" w:eastAsia="Arial" w:hAnsi="Arial"/>
          <w:sz w:val="22"/>
          <w:szCs w:val="22"/>
        </w:rPr>
        <w:t xml:space="preserve">(A) Coarse excipient granules (&gt; 500 µm)</w:t>
      </w:r>
    </w:p>
    <w:p>
      <w:pPr>
        <w:pStyle w:val="ListParagraph"/>
        <w:numPr>
          <w:ilvl w:val="0"/>
          <w:numId w:val="2"/>
        </w:numPr>
        <w:spacing w:after="60" w:before="60"/>
      </w:pPr>
      <w:r>
        <w:rPr>
          <w:rFonts w:ascii="Arial" w:cs="Arial" w:eastAsia="Arial" w:hAnsi="Arial"/>
          <w:sz w:val="22"/>
          <w:szCs w:val="22"/>
        </w:rPr>
        <w:t xml:space="preserve">(B) Free-flowing lactose powder</w:t>
      </w:r>
    </w:p>
    <w:p>
      <w:pPr>
        <w:pStyle w:val="ListParagraph"/>
        <w:numPr>
          <w:ilvl w:val="0"/>
          <w:numId w:val="2"/>
        </w:numPr>
        <w:spacing w:after="60" w:before="60"/>
      </w:pPr>
      <w:r>
        <w:rPr>
          <w:rFonts w:ascii="Arial" w:cs="Arial" w:eastAsia="Arial" w:hAnsi="Arial"/>
          <w:sz w:val="22"/>
          <w:szCs w:val="22"/>
        </w:rPr>
        <w:t xml:space="preserve">(C) Highly friable enteric-coated pellets that would be crushed or abraded by the screw flights</w:t>
      </w:r>
    </w:p>
    <w:p>
      <w:pPr>
        <w:pStyle w:val="ListParagraph"/>
        <w:numPr>
          <w:ilvl w:val="0"/>
          <w:numId w:val="2"/>
        </w:numPr>
        <w:spacing w:after="60" w:before="60"/>
      </w:pPr>
      <w:r>
        <w:rPr>
          <w:rFonts w:ascii="Arial" w:cs="Arial" w:eastAsia="Arial" w:hAnsi="Arial"/>
          <w:sz w:val="22"/>
          <w:szCs w:val="22"/>
        </w:rPr>
        <w:t xml:space="preserve">(D) Dry granulation ribbon mill discharge</w:t>
      </w:r>
    </w:p>
    <w:p>
      <w:pPr>
        <w:spacing w:after="80" w:before="80"/>
        <w:jc w:val="both"/>
      </w:pPr>
      <w:r>
        <w:rPr>
          <w:rFonts w:ascii="Arial" w:cs="Arial" w:eastAsia="Arial" w:hAnsi="Arial"/>
          <w:sz w:val="22"/>
          <w:szCs w:val="22"/>
        </w:rPr>
        <w:t xml:space="preserve">Answer: (C) | Screw conveyor mechanism: rotating flights push material through trough. Fragile pellets (e.g., enteric-coated multiparticulate pellets, 600–1200 µm diameter) would be crushed between screw flights and trough wall. Similarly, lyophilised tablets, effervescent tablets, and any high-friability coating products are incompatible with screw conveying. For fragile products: pneumatic dense phase or vibrating conveyor.</w:t>
      </w:r>
    </w:p>
    <w:p>
      <w:pPr>
        <w:spacing w:after="60" w:before="60"/>
      </w:pPr>
      <w:r>
        <w:t xml:space="preserve"/>
      </w:r>
    </w:p>
    <w:p>
      <w:pPr>
        <w:spacing w:after="80" w:before="80"/>
        <w:jc w:val="both"/>
      </w:pPr>
      <w:r>
        <w:rPr>
          <w:rFonts w:ascii="Arial" w:cs="Arial" w:eastAsia="Arial" w:hAnsi="Arial"/>
          <w:b/>
          <w:bCs/>
          <w:sz w:val="22"/>
          <w:szCs w:val="22"/>
        </w:rPr>
        <w:t xml:space="preserve">Q8. Cold chain management for pharmaceutical products is essential because:</w:t>
      </w:r>
    </w:p>
    <w:p>
      <w:pPr>
        <w:pStyle w:val="ListParagraph"/>
        <w:numPr>
          <w:ilvl w:val="0"/>
          <w:numId w:val="2"/>
        </w:numPr>
        <w:spacing w:after="60" w:before="60"/>
      </w:pPr>
      <w:r>
        <w:rPr>
          <w:rFonts w:ascii="Arial" w:cs="Arial" w:eastAsia="Arial" w:hAnsi="Arial"/>
          <w:sz w:val="22"/>
          <w:szCs w:val="22"/>
        </w:rPr>
        <w:t xml:space="preserve">(A) Cold storage is required by all pharmaceutical regulations regardless of product stability</w:t>
      </w:r>
    </w:p>
    <w:p>
      <w:pPr>
        <w:pStyle w:val="ListParagraph"/>
        <w:numPr>
          <w:ilvl w:val="0"/>
          <w:numId w:val="2"/>
        </w:numPr>
        <w:spacing w:after="60" w:before="60"/>
      </w:pPr>
      <w:r>
        <w:rPr>
          <w:rFonts w:ascii="Arial" w:cs="Arial" w:eastAsia="Arial" w:hAnsi="Arial"/>
          <w:sz w:val="22"/>
          <w:szCs w:val="22"/>
        </w:rPr>
        <w:t xml:space="preserve">(B) Temperature-sensitive products (vaccines, biologics, insulin) irreversibly degrade outside their specified temperature range — leading to reduced potency, loss of sterility assurance, and patient harm if administered</w:t>
      </w:r>
    </w:p>
    <w:p>
      <w:pPr>
        <w:pStyle w:val="ListParagraph"/>
        <w:numPr>
          <w:ilvl w:val="0"/>
          <w:numId w:val="2"/>
        </w:numPr>
        <w:spacing w:after="60" w:before="60"/>
      </w:pPr>
      <w:r>
        <w:rPr>
          <w:rFonts w:ascii="Arial" w:cs="Arial" w:eastAsia="Arial" w:hAnsi="Arial"/>
          <w:sz w:val="22"/>
          <w:szCs w:val="22"/>
        </w:rPr>
        <w:t xml:space="preserve">(C) Cold chain prevents counterfeit product entering the supply chain</w:t>
      </w:r>
    </w:p>
    <w:p>
      <w:pPr>
        <w:pStyle w:val="ListParagraph"/>
        <w:numPr>
          <w:ilvl w:val="0"/>
          <w:numId w:val="2"/>
        </w:numPr>
        <w:spacing w:after="60" w:before="60"/>
      </w:pPr>
      <w:r>
        <w:rPr>
          <w:rFonts w:ascii="Arial" w:cs="Arial" w:eastAsia="Arial" w:hAnsi="Arial"/>
          <w:sz w:val="22"/>
          <w:szCs w:val="22"/>
        </w:rPr>
        <w:t xml:space="preserve">(D) Cold storage reduces the microbial bioburden specification requirement for injectable products</w:t>
      </w:r>
    </w:p>
    <w:p>
      <w:pPr>
        <w:spacing w:after="80" w:before="80"/>
        <w:jc w:val="both"/>
      </w:pPr>
      <w:r>
        <w:rPr>
          <w:rFonts w:ascii="Arial" w:cs="Arial" w:eastAsia="Arial" w:hAnsi="Arial"/>
          <w:sz w:val="22"/>
          <w:szCs w:val="22"/>
        </w:rPr>
        <w:t xml:space="preserve">Answer: (B) | Vaccine efficacy is directly dependent on cold chain maintenance — a single temperature excursion (e.g., a vaccine stored at 25°C for 24 hours instead of 2–8°C) may result in significant loss of potency. Unlike most chemical drugs, protein biologics undergo irreversible denaturation — cooling back to the correct temperature does not restore potency. Patient harm from subpotent vaccine administration (disease not prevented) is the ultimate consequence of cold chain failure.</w:t>
      </w:r>
    </w:p>
    <w:p>
      <w:pPr>
        <w:spacing w:after="60" w:before="60"/>
      </w:pPr>
      <w:r>
        <w:t xml:space="preserve"/>
      </w:r>
    </w:p>
    <w:p>
      <w:pPr>
        <w:spacing w:after="80" w:before="80"/>
        <w:jc w:val="both"/>
      </w:pPr>
      <w:r>
        <w:rPr>
          <w:rFonts w:ascii="Arial" w:cs="Arial" w:eastAsia="Arial" w:hAnsi="Arial"/>
          <w:b/>
          <w:bCs/>
          <w:sz w:val="22"/>
          <w:szCs w:val="22"/>
        </w:rPr>
        <w:t xml:space="preserve">Q9. Automated Guided Vehicles (AGVs) improve GMP compliance in pharmaceutical material handling by:</w:t>
      </w:r>
    </w:p>
    <w:p>
      <w:pPr>
        <w:pStyle w:val="ListParagraph"/>
        <w:numPr>
          <w:ilvl w:val="0"/>
          <w:numId w:val="2"/>
        </w:numPr>
        <w:spacing w:after="60" w:before="60"/>
      </w:pPr>
      <w:r>
        <w:rPr>
          <w:rFonts w:ascii="Arial" w:cs="Arial" w:eastAsia="Arial" w:hAnsi="Arial"/>
          <w:sz w:val="22"/>
          <w:szCs w:val="22"/>
        </w:rPr>
        <w:t xml:space="preserve">(A) Eliminating the need for human operators in pharmaceutical manufacturing</w:t>
      </w:r>
    </w:p>
    <w:p>
      <w:pPr>
        <w:pStyle w:val="ListParagraph"/>
        <w:numPr>
          <w:ilvl w:val="0"/>
          <w:numId w:val="2"/>
        </w:numPr>
        <w:spacing w:after="60" w:before="60"/>
      </w:pPr>
      <w:r>
        <w:rPr>
          <w:rFonts w:ascii="Arial" w:cs="Arial" w:eastAsia="Arial" w:hAnsi="Arial"/>
          <w:sz w:val="22"/>
          <w:szCs w:val="22"/>
        </w:rPr>
        <w:t xml:space="preserve">(B) Providing programmable, reproducible material routing with electronic audit trails (barcode/RFID scanning at each movement) that satisfy 21 CFR Part 11 data integrity requirements</w:t>
      </w:r>
    </w:p>
    <w:p>
      <w:pPr>
        <w:pStyle w:val="ListParagraph"/>
        <w:numPr>
          <w:ilvl w:val="0"/>
          <w:numId w:val="2"/>
        </w:numPr>
        <w:spacing w:after="60" w:before="60"/>
      </w:pPr>
      <w:r>
        <w:rPr>
          <w:rFonts w:ascii="Arial" w:cs="Arial" w:eastAsia="Arial" w:hAnsi="Arial"/>
          <w:sz w:val="22"/>
          <w:szCs w:val="22"/>
        </w:rPr>
        <w:t xml:space="preserve">(C) Reducing the capital cost of material handling systems</w:t>
      </w:r>
    </w:p>
    <w:p>
      <w:pPr>
        <w:pStyle w:val="ListParagraph"/>
        <w:numPr>
          <w:ilvl w:val="0"/>
          <w:numId w:val="2"/>
        </w:numPr>
        <w:spacing w:after="60" w:before="60"/>
      </w:pPr>
      <w:r>
        <w:rPr>
          <w:rFonts w:ascii="Arial" w:cs="Arial" w:eastAsia="Arial" w:hAnsi="Arial"/>
          <w:sz w:val="22"/>
          <w:szCs w:val="22"/>
        </w:rPr>
        <w:t xml:space="preserve">(D) Replacing HVAC systems for material temperature control</w:t>
      </w:r>
    </w:p>
    <w:p>
      <w:pPr>
        <w:spacing w:after="80" w:before="80"/>
        <w:jc w:val="both"/>
      </w:pPr>
      <w:r>
        <w:rPr>
          <w:rFonts w:ascii="Arial" w:cs="Arial" w:eastAsia="Arial" w:hAnsi="Arial"/>
          <w:sz w:val="22"/>
          <w:szCs w:val="22"/>
        </w:rPr>
        <w:t xml:space="preserve">Answer: (B) | AGV GMP advantages: (1) no manual routing errors — programmed routes only; (2) every movement electronically recorded with timestamp, operator ID, batch number — complete audit trail; (3) integrates with MES for real-time inventory and batch traceability; (4) consistent, reproducible handling force (no human variation in push/pull force); (5) 24/7 operation with same data integrity as daytime operations. GMP inspectors increasingly expect electronic material tracking in modern pharmaceutical facilities.</w:t>
      </w:r>
    </w:p>
    <w:p>
      <w:pPr>
        <w:spacing w:after="60" w:before="60"/>
      </w:pPr>
      <w:r>
        <w:t xml:space="preserve"/>
      </w:r>
    </w:p>
    <w:p>
      <w:pPr>
        <w:spacing w:after="80" w:before="80"/>
        <w:jc w:val="both"/>
      </w:pPr>
      <w:r>
        <w:rPr>
          <w:rFonts w:ascii="Arial" w:cs="Arial" w:eastAsia="Arial" w:hAnsi="Arial"/>
          <w:b/>
          <w:bCs/>
          <w:sz w:val="22"/>
          <w:szCs w:val="22"/>
        </w:rPr>
        <w:t xml:space="preserve">Q10. In pharmaceutical silos for excipient storage, the conical bottom (60° cone) design is used because:</w:t>
      </w:r>
    </w:p>
    <w:p>
      <w:pPr>
        <w:pStyle w:val="ListParagraph"/>
        <w:numPr>
          <w:ilvl w:val="0"/>
          <w:numId w:val="2"/>
        </w:numPr>
        <w:spacing w:after="60" w:before="60"/>
      </w:pPr>
      <w:r>
        <w:rPr>
          <w:rFonts w:ascii="Arial" w:cs="Arial" w:eastAsia="Arial" w:hAnsi="Arial"/>
          <w:sz w:val="22"/>
          <w:szCs w:val="22"/>
        </w:rPr>
        <w:t xml:space="preserve">(A) The conical shape is cheaper to fabricate from stainless steel</w:t>
      </w:r>
    </w:p>
    <w:p>
      <w:pPr>
        <w:pStyle w:val="ListParagraph"/>
        <w:numPr>
          <w:ilvl w:val="0"/>
          <w:numId w:val="2"/>
        </w:numPr>
        <w:spacing w:after="60" w:before="60"/>
      </w:pPr>
      <w:r>
        <w:rPr>
          <w:rFonts w:ascii="Arial" w:cs="Arial" w:eastAsia="Arial" w:hAnsi="Arial"/>
          <w:sz w:val="22"/>
          <w:szCs w:val="22"/>
        </w:rPr>
        <w:t xml:space="preserve">(B) The 60° cone (steeper than the angle of repose of most pharmaceutical powders) promotes mass flow discharge — all material moves simultaneously, preventing bridging, ratholing, and preferential flow that would cause segregation of the blend</w:t>
      </w:r>
    </w:p>
    <w:p>
      <w:pPr>
        <w:pStyle w:val="ListParagraph"/>
        <w:numPr>
          <w:ilvl w:val="0"/>
          <w:numId w:val="2"/>
        </w:numPr>
        <w:spacing w:after="60" w:before="60"/>
      </w:pPr>
      <w:r>
        <w:rPr>
          <w:rFonts w:ascii="Arial" w:cs="Arial" w:eastAsia="Arial" w:hAnsi="Arial"/>
          <w:sz w:val="22"/>
          <w:szCs w:val="22"/>
        </w:rPr>
        <w:t xml:space="preserve">(C) The conical bottom allows installation of a stirrer for mixing during storage</w:t>
      </w:r>
    </w:p>
    <w:p>
      <w:pPr>
        <w:pStyle w:val="ListParagraph"/>
        <w:numPr>
          <w:ilvl w:val="0"/>
          <w:numId w:val="2"/>
        </w:numPr>
        <w:spacing w:after="60" w:before="60"/>
      </w:pPr>
      <w:r>
        <w:rPr>
          <w:rFonts w:ascii="Arial" w:cs="Arial" w:eastAsia="Arial" w:hAnsi="Arial"/>
          <w:sz w:val="22"/>
          <w:szCs w:val="22"/>
        </w:rPr>
        <w:t xml:space="preserve">(D) The cone reduces static buildup in the silo</w:t>
      </w:r>
    </w:p>
    <w:p>
      <w:pPr>
        <w:spacing w:after="80" w:before="80"/>
        <w:jc w:val="both"/>
      </w:pPr>
      <w:r>
        <w:rPr>
          <w:rFonts w:ascii="Arial" w:cs="Arial" w:eastAsia="Arial" w:hAnsi="Arial"/>
          <w:sz w:val="22"/>
          <w:szCs w:val="22"/>
        </w:rPr>
        <w:t xml:space="preserve">Answer: (B) | Angle of repose of most pharmaceutical powders: 25–45°. For mass flow in a cone, the half-angle of the cone must exceed the wall friction angle — typically achieved with 60° included angle (30° half-angle) SS 316L polished walls. Mass flow: entire powder mass moves simultaneously — no stagnant zones — FIFO discharge — no segregation. Funnel flow (in shallower cones): central channel flows while peripheral material stagnates → segregation → blend non-uniformity at tablet press.</w:t>
      </w:r>
    </w:p>
    <w:p>
      <w:pPr>
        <w:spacing w:after="60" w:before="60"/>
      </w:pPr>
      <w:r>
        <w:t xml:space="preserve"/>
      </w:r>
    </w:p>
    <w:p>
      <w:pPr>
        <w:spacing w:after="80" w:before="80"/>
        <w:jc w:val="both"/>
      </w:pPr>
      <w:r>
        <w:rPr>
          <w:rFonts w:ascii="Arial" w:cs="Arial" w:eastAsia="Arial" w:hAnsi="Arial"/>
          <w:b/>
          <w:bCs/>
          <w:sz w:val="22"/>
          <w:szCs w:val="22"/>
        </w:rPr>
        <w:t xml:space="preserve">Q11. A pharmaceutical company handles an OEB 5 compound (OEL = 0.1 µg/m³). The MINIMUM engineering control required for dispensing this compound is:</w:t>
      </w:r>
    </w:p>
    <w:p>
      <w:pPr>
        <w:pStyle w:val="ListParagraph"/>
        <w:numPr>
          <w:ilvl w:val="0"/>
          <w:numId w:val="2"/>
        </w:numPr>
        <w:spacing w:after="60" w:before="60"/>
      </w:pPr>
      <w:r>
        <w:rPr>
          <w:rFonts w:ascii="Arial" w:cs="Arial" w:eastAsia="Arial" w:hAnsi="Arial"/>
          <w:sz w:val="22"/>
          <w:szCs w:val="22"/>
        </w:rPr>
        <w:t xml:space="preserve">(A) Lab coat, gloves, and surgical mask</w:t>
      </w:r>
    </w:p>
    <w:p>
      <w:pPr>
        <w:pStyle w:val="ListParagraph"/>
        <w:numPr>
          <w:ilvl w:val="0"/>
          <w:numId w:val="2"/>
        </w:numPr>
        <w:spacing w:after="60" w:before="60"/>
      </w:pPr>
      <w:r>
        <w:rPr>
          <w:rFonts w:ascii="Arial" w:cs="Arial" w:eastAsia="Arial" w:hAnsi="Arial"/>
          <w:sz w:val="22"/>
          <w:szCs w:val="22"/>
        </w:rPr>
        <w:t xml:space="preserve">(B) Downflow weighing booth with HEPA filter and local exhaust</w:t>
      </w:r>
    </w:p>
    <w:p>
      <w:pPr>
        <w:pStyle w:val="ListParagraph"/>
        <w:numPr>
          <w:ilvl w:val="0"/>
          <w:numId w:val="2"/>
        </w:numPr>
        <w:spacing w:after="60" w:before="60"/>
      </w:pPr>
      <w:r>
        <w:rPr>
          <w:rFonts w:ascii="Arial" w:cs="Arial" w:eastAsia="Arial" w:hAnsi="Arial"/>
          <w:sz w:val="22"/>
          <w:szCs w:val="22"/>
        </w:rPr>
        <w:t xml:space="preserve">(C) Full pharmaceutical isolator with HEPA exhaust, single-use gloves, continuous air monitoring — no respiratory equipment adequate at this OEL; only isolator with no operator exposure</w:t>
      </w:r>
    </w:p>
    <w:p>
      <w:pPr>
        <w:pStyle w:val="ListParagraph"/>
        <w:numPr>
          <w:ilvl w:val="0"/>
          <w:numId w:val="2"/>
        </w:numPr>
        <w:spacing w:after="60" w:before="60"/>
      </w:pPr>
      <w:r>
        <w:rPr>
          <w:rFonts w:ascii="Arial" w:cs="Arial" w:eastAsia="Arial" w:hAnsi="Arial"/>
          <w:sz w:val="22"/>
          <w:szCs w:val="22"/>
        </w:rPr>
        <w:t xml:space="preserve">(D) Half-face respirator (P3 filter) with gloves</w:t>
      </w:r>
    </w:p>
    <w:p>
      <w:pPr>
        <w:spacing w:after="80" w:before="80"/>
        <w:jc w:val="both"/>
      </w:pPr>
      <w:r>
        <w:rPr>
          <w:rFonts w:ascii="Arial" w:cs="Arial" w:eastAsia="Arial" w:hAnsi="Arial"/>
          <w:sz w:val="22"/>
          <w:szCs w:val="22"/>
        </w:rPr>
        <w:t xml:space="preserve">Answer: (C) | At OEL = 0.1 µg/m³ (OEB 5), no personal protective equipment (PPE) provides adequate protection: even the best P3 respirator has an assigned protection factor of ~20 — so at 0.1 µg/m³ OEL, the highest ambient concentration the worker could enter with P3 mask is 2 µg/m³, which is still too low for practicality. Only a pharmaceutical isolator (no operator-product airspace contact) provides the necessary protection. Continuous air monitoring confirms no leak from the isolator.</w:t>
      </w:r>
    </w:p>
    <w:p>
      <w:pPr>
        <w:spacing w:after="60" w:before="60"/>
      </w:pPr>
      <w:r>
        <w:t xml:space="preserve"/>
      </w:r>
    </w:p>
    <w:p>
      <w:pPr>
        <w:spacing w:after="80" w:before="80"/>
        <w:jc w:val="both"/>
      </w:pPr>
      <w:r>
        <w:rPr>
          <w:rFonts w:ascii="Arial" w:cs="Arial" w:eastAsia="Arial" w:hAnsi="Arial"/>
          <w:b/>
          <w:bCs/>
          <w:sz w:val="22"/>
          <w:szCs w:val="22"/>
        </w:rPr>
        <w:t xml:space="preserve">Q12. Belt conveyors in pharmaceutical packaging lines are typically made of polyurethane (PU) rather than rubber because:</w:t>
      </w:r>
    </w:p>
    <w:p>
      <w:pPr>
        <w:pStyle w:val="ListParagraph"/>
        <w:numPr>
          <w:ilvl w:val="0"/>
          <w:numId w:val="2"/>
        </w:numPr>
        <w:spacing w:after="60" w:before="60"/>
      </w:pPr>
      <w:r>
        <w:rPr>
          <w:rFonts w:ascii="Arial" w:cs="Arial" w:eastAsia="Arial" w:hAnsi="Arial"/>
          <w:sz w:val="22"/>
          <w:szCs w:val="22"/>
        </w:rPr>
        <w:t xml:space="preserve">(A) PU belts are cheaper than rubber belts</w:t>
      </w:r>
    </w:p>
    <w:p>
      <w:pPr>
        <w:pStyle w:val="ListParagraph"/>
        <w:numPr>
          <w:ilvl w:val="0"/>
          <w:numId w:val="2"/>
        </w:numPr>
        <w:spacing w:after="60" w:before="60"/>
      </w:pPr>
      <w:r>
        <w:rPr>
          <w:rFonts w:ascii="Arial" w:cs="Arial" w:eastAsia="Arial" w:hAnsi="Arial"/>
          <w:sz w:val="22"/>
          <w:szCs w:val="22"/>
        </w:rPr>
        <w:t xml:space="preserve">(B) PU belts are non-porous, cleanable, FDA-acceptable food/pharma grade; resistant to pharmaceutical cleaning agents (alcohol, dilute acid/alkali); do not absorb product; lower particle generation than rubber</w:t>
      </w:r>
    </w:p>
    <w:p>
      <w:pPr>
        <w:pStyle w:val="ListParagraph"/>
        <w:numPr>
          <w:ilvl w:val="0"/>
          <w:numId w:val="2"/>
        </w:numPr>
        <w:spacing w:after="60" w:before="60"/>
      </w:pPr>
      <w:r>
        <w:rPr>
          <w:rFonts w:ascii="Arial" w:cs="Arial" w:eastAsia="Arial" w:hAnsi="Arial"/>
          <w:sz w:val="22"/>
          <w:szCs w:val="22"/>
        </w:rPr>
        <w:t xml:space="preserve">(C) PU belts can be sterilised by autoclave for sterile packaging</w:t>
      </w:r>
    </w:p>
    <w:p>
      <w:pPr>
        <w:pStyle w:val="ListParagraph"/>
        <w:numPr>
          <w:ilvl w:val="0"/>
          <w:numId w:val="2"/>
        </w:numPr>
        <w:spacing w:after="60" w:before="60"/>
      </w:pPr>
      <w:r>
        <w:rPr>
          <w:rFonts w:ascii="Arial" w:cs="Arial" w:eastAsia="Arial" w:hAnsi="Arial"/>
          <w:sz w:val="22"/>
          <w:szCs w:val="22"/>
        </w:rPr>
        <w:t xml:space="preserve">(D) PU belts have higher friction coefficient for better tablet grip</w:t>
      </w:r>
    </w:p>
    <w:p>
      <w:pPr>
        <w:spacing w:after="80" w:before="80"/>
        <w:jc w:val="both"/>
      </w:pPr>
      <w:r>
        <w:rPr>
          <w:rFonts w:ascii="Arial" w:cs="Arial" w:eastAsia="Arial" w:hAnsi="Arial"/>
          <w:sz w:val="22"/>
          <w:szCs w:val="22"/>
        </w:rPr>
        <w:t xml:space="preserve">Answer: (B) | Pharmaceutical GMP belt requirements: food/pharma grade material (FDA 21 CFR 177); non-porous (no product absorption/retention); cleanable with IPA, hydrogen peroxide, dilute acid/alkali; minimal particle generation (rubber can generate black rubber particles contaminating product); colour-distinguishable from product (blue or white belts for white tablets). PU (polyurethane) and silicone belts meet all these requirements; rubber belts do not meet pharmaceutical cleanliness standards.</w:t>
      </w:r>
    </w:p>
    <w:p>
      <w:pPr>
        <w:spacing w:after="60" w:before="60"/>
      </w:pPr>
      <w:r>
        <w:t xml:space="preserve"/>
      </w:r>
    </w:p>
    <w:p>
      <w:pPr>
        <w:spacing w:after="80" w:before="80"/>
        <w:jc w:val="both"/>
      </w:pPr>
      <w:r>
        <w:rPr>
          <w:rFonts w:ascii="Arial" w:cs="Arial" w:eastAsia="Arial" w:hAnsi="Arial"/>
          <w:b/>
          <w:bCs/>
          <w:sz w:val="22"/>
          <w:szCs w:val="22"/>
        </w:rPr>
        <w:t xml:space="preserve">Q13. Mean Kinetic Temperature (MKT) is used in pharmaceutical cold chain management to:</w:t>
      </w:r>
    </w:p>
    <w:p>
      <w:pPr>
        <w:pStyle w:val="ListParagraph"/>
        <w:numPr>
          <w:ilvl w:val="0"/>
          <w:numId w:val="2"/>
        </w:numPr>
        <w:spacing w:after="60" w:before="60"/>
      </w:pPr>
      <w:r>
        <w:rPr>
          <w:rFonts w:ascii="Arial" w:cs="Arial" w:eastAsia="Arial" w:hAnsi="Arial"/>
          <w:sz w:val="22"/>
          <w:szCs w:val="22"/>
        </w:rPr>
        <w:t xml:space="preserve">(A) Calculate the average temperature of a cold room</w:t>
      </w:r>
    </w:p>
    <w:p>
      <w:pPr>
        <w:pStyle w:val="ListParagraph"/>
        <w:numPr>
          <w:ilvl w:val="0"/>
          <w:numId w:val="2"/>
        </w:numPr>
        <w:spacing w:after="60" w:before="60"/>
      </w:pPr>
      <w:r>
        <w:rPr>
          <w:rFonts w:ascii="Arial" w:cs="Arial" w:eastAsia="Arial" w:hAnsi="Arial"/>
          <w:sz w:val="22"/>
          <w:szCs w:val="22"/>
        </w:rPr>
        <w:t xml:space="preserve">(B) Determine whether a temperature excursion during storage or transport has caused significant pharmaceutical product degradation — using the Arrhenius equation to calculate the thermodynamic equivalent constant temperature</w:t>
      </w:r>
    </w:p>
    <w:p>
      <w:pPr>
        <w:pStyle w:val="ListParagraph"/>
        <w:numPr>
          <w:ilvl w:val="0"/>
          <w:numId w:val="2"/>
        </w:numPr>
        <w:spacing w:after="60" w:before="60"/>
      </w:pPr>
      <w:r>
        <w:rPr>
          <w:rFonts w:ascii="Arial" w:cs="Arial" w:eastAsia="Arial" w:hAnsi="Arial"/>
          <w:sz w:val="22"/>
          <w:szCs w:val="22"/>
        </w:rPr>
        <w:t xml:space="preserve">(C) Set the thermostat of refrigerated storage units</w:t>
      </w:r>
    </w:p>
    <w:p>
      <w:pPr>
        <w:pStyle w:val="ListParagraph"/>
        <w:numPr>
          <w:ilvl w:val="0"/>
          <w:numId w:val="2"/>
        </w:numPr>
        <w:spacing w:after="60" w:before="60"/>
      </w:pPr>
      <w:r>
        <w:rPr>
          <w:rFonts w:ascii="Arial" w:cs="Arial" w:eastAsia="Arial" w:hAnsi="Arial"/>
          <w:sz w:val="22"/>
          <w:szCs w:val="22"/>
        </w:rPr>
        <w:t xml:space="preserve">(D) Measure the heat generated by pharmaceutical products during decomposition</w:t>
      </w:r>
    </w:p>
    <w:p>
      <w:pPr>
        <w:spacing w:after="80" w:before="80"/>
        <w:jc w:val="both"/>
      </w:pPr>
      <w:r>
        <w:rPr>
          <w:rFonts w:ascii="Arial" w:cs="Arial" w:eastAsia="Arial" w:hAnsi="Arial"/>
          <w:sz w:val="22"/>
          <w:szCs w:val="22"/>
        </w:rPr>
        <w:t xml:space="preserve">Answer: (B) | MKT (from ICH Q1A guidance) is the single temperature at which the same amount of degradation would occur as during the actual variable temperature exposure. Calculated as: T_MKT = ΔH/R / ln[(1/n) × Σ exp(−ΔH/RTᵢ)], where ΔH = heat of activation; R = gas constant; Tᵢ = temperatures during exposure. A temperature excursion that causes MKT &gt; storage specification → product impact assessment required. This scientifically defensible approach avoids automatically rejecting products from brief, minor temperature excursions.</w:t>
      </w:r>
    </w:p>
    <w:p>
      <w:pPr>
        <w:spacing w:after="60" w:before="60"/>
      </w:pPr>
      <w:r>
        <w:t xml:space="preserve"/>
      </w:r>
    </w:p>
    <w:p>
      <w:pPr>
        <w:spacing w:after="80" w:before="80"/>
        <w:jc w:val="both"/>
      </w:pPr>
      <w:r>
        <w:rPr>
          <w:rFonts w:ascii="Arial" w:cs="Arial" w:eastAsia="Arial" w:hAnsi="Arial"/>
          <w:b/>
          <w:bCs/>
          <w:sz w:val="22"/>
          <w:szCs w:val="22"/>
        </w:rPr>
        <w:t xml:space="preserve">Q14. In a pharmaceutical warehouse, FIFO (First In, First Out) material management is critical because:</w:t>
      </w:r>
    </w:p>
    <w:p>
      <w:pPr>
        <w:pStyle w:val="ListParagraph"/>
        <w:numPr>
          <w:ilvl w:val="0"/>
          <w:numId w:val="2"/>
        </w:numPr>
        <w:spacing w:after="60" w:before="60"/>
      </w:pPr>
      <w:r>
        <w:rPr>
          <w:rFonts w:ascii="Arial" w:cs="Arial" w:eastAsia="Arial" w:hAnsi="Arial"/>
          <w:sz w:val="22"/>
          <w:szCs w:val="22"/>
        </w:rPr>
        <w:t xml:space="preserve">(A) FIFO reduces energy consumption in refrigerated storage</w:t>
      </w:r>
    </w:p>
    <w:p>
      <w:pPr>
        <w:pStyle w:val="ListParagraph"/>
        <w:numPr>
          <w:ilvl w:val="0"/>
          <w:numId w:val="2"/>
        </w:numPr>
        <w:spacing w:after="60" w:before="60"/>
      </w:pPr>
      <w:r>
        <w:rPr>
          <w:rFonts w:ascii="Arial" w:cs="Arial" w:eastAsia="Arial" w:hAnsi="Arial"/>
          <w:sz w:val="22"/>
          <w:szCs w:val="22"/>
        </w:rPr>
        <w:t xml:space="preserve">(B) FIFO ensures that materials with the earliest expiry dates are used first — preventing use of expired materials that would cause product quality failure or regulatory non-compliance</w:t>
      </w:r>
    </w:p>
    <w:p>
      <w:pPr>
        <w:pStyle w:val="ListParagraph"/>
        <w:numPr>
          <w:ilvl w:val="0"/>
          <w:numId w:val="2"/>
        </w:numPr>
        <w:spacing w:after="60" w:before="60"/>
      </w:pPr>
      <w:r>
        <w:rPr>
          <w:rFonts w:ascii="Arial" w:cs="Arial" w:eastAsia="Arial" w:hAnsi="Arial"/>
          <w:sz w:val="22"/>
          <w:szCs w:val="22"/>
        </w:rPr>
        <w:t xml:space="preserve">(C) FIFO is required to prevent condensation on cold storage products</w:t>
      </w:r>
    </w:p>
    <w:p>
      <w:pPr>
        <w:pStyle w:val="ListParagraph"/>
        <w:numPr>
          <w:ilvl w:val="0"/>
          <w:numId w:val="2"/>
        </w:numPr>
        <w:spacing w:after="60" w:before="60"/>
      </w:pPr>
      <w:r>
        <w:rPr>
          <w:rFonts w:ascii="Arial" w:cs="Arial" w:eastAsia="Arial" w:hAnsi="Arial"/>
          <w:sz w:val="22"/>
          <w:szCs w:val="22"/>
        </w:rPr>
        <w:t xml:space="preserve">(D) FIFO is only required for controlled substances under narcotic regulations</w:t>
      </w:r>
    </w:p>
    <w:p>
      <w:pPr>
        <w:spacing w:after="80" w:before="80"/>
        <w:jc w:val="both"/>
      </w:pPr>
      <w:r>
        <w:rPr>
          <w:rFonts w:ascii="Arial" w:cs="Arial" w:eastAsia="Arial" w:hAnsi="Arial"/>
          <w:sz w:val="22"/>
          <w:szCs w:val="22"/>
        </w:rPr>
        <w:t xml:space="preserve">Answer: (B) | GMP requires FIFO or FEFO (First Expired First Out — for materials with different manufacture dates and different expiry). The oldest (nearest expiry) material must be issued first. Without FIFO: material can be sitting at the back of a rack expiring while newer material is used from the front. GMP consequence: expired material used in manufacturing → product with compromised quality → recall risk. Electronic WMS (Warehouse Management Systems) enforce FIFO automatically.</w:t>
      </w:r>
    </w:p>
    <w:p>
      <w:pPr>
        <w:spacing w:after="60" w:before="60"/>
      </w:pPr>
      <w:r>
        <w:t xml:space="preserve"/>
      </w:r>
    </w:p>
    <w:p>
      <w:pPr>
        <w:spacing w:after="80" w:before="80"/>
        <w:jc w:val="both"/>
      </w:pPr>
      <w:r>
        <w:rPr>
          <w:rFonts w:ascii="Arial" w:cs="Arial" w:eastAsia="Arial" w:hAnsi="Arial"/>
          <w:b/>
          <w:bCs/>
          <w:sz w:val="22"/>
          <w:szCs w:val="22"/>
        </w:rPr>
        <w:t xml:space="preserve">Q15. Pharmaceutical drum dumpers with containment collars are used for:</w:t>
      </w:r>
    </w:p>
    <w:p>
      <w:pPr>
        <w:pStyle w:val="ListParagraph"/>
        <w:numPr>
          <w:ilvl w:val="0"/>
          <w:numId w:val="2"/>
        </w:numPr>
        <w:spacing w:after="60" w:before="60"/>
      </w:pPr>
      <w:r>
        <w:rPr>
          <w:rFonts w:ascii="Arial" w:cs="Arial" w:eastAsia="Arial" w:hAnsi="Arial"/>
          <w:sz w:val="22"/>
          <w:szCs w:val="22"/>
        </w:rPr>
        <w:t xml:space="preserve">(A) Washing empty drums before disposal</w:t>
      </w:r>
    </w:p>
    <w:p>
      <w:pPr>
        <w:pStyle w:val="ListParagraph"/>
        <w:numPr>
          <w:ilvl w:val="0"/>
          <w:numId w:val="2"/>
        </w:numPr>
        <w:spacing w:after="60" w:before="60"/>
      </w:pPr>
      <w:r>
        <w:rPr>
          <w:rFonts w:ascii="Arial" w:cs="Arial" w:eastAsia="Arial" w:hAnsi="Arial"/>
          <w:sz w:val="22"/>
          <w:szCs w:val="22"/>
        </w:rPr>
        <w:t xml:space="preserve">(B) Contained inversion and discharge of 200-litre API drums into dispensing vessels without operator exposure to the drum contents — the containment collar creates a sealed interface between drum and receiving vessel</w:t>
      </w:r>
    </w:p>
    <w:p>
      <w:pPr>
        <w:pStyle w:val="ListParagraph"/>
        <w:numPr>
          <w:ilvl w:val="0"/>
          <w:numId w:val="2"/>
        </w:numPr>
        <w:spacing w:after="60" w:before="60"/>
      </w:pPr>
      <w:r>
        <w:rPr>
          <w:rFonts w:ascii="Arial" w:cs="Arial" w:eastAsia="Arial" w:hAnsi="Arial"/>
          <w:sz w:val="22"/>
          <w:szCs w:val="22"/>
        </w:rPr>
        <w:t xml:space="preserve">(C) Transport of drums between warehouses</w:t>
      </w:r>
    </w:p>
    <w:p>
      <w:pPr>
        <w:pStyle w:val="ListParagraph"/>
        <w:numPr>
          <w:ilvl w:val="0"/>
          <w:numId w:val="2"/>
        </w:numPr>
        <w:spacing w:after="60" w:before="60"/>
      </w:pPr>
      <w:r>
        <w:rPr>
          <w:rFonts w:ascii="Arial" w:cs="Arial" w:eastAsia="Arial" w:hAnsi="Arial"/>
          <w:sz w:val="22"/>
          <w:szCs w:val="22"/>
        </w:rPr>
        <w:t xml:space="preserve">(D) Weighing drum contents for yield calculation</w:t>
      </w:r>
    </w:p>
    <w:p>
      <w:pPr>
        <w:spacing w:after="80" w:before="80"/>
        <w:jc w:val="both"/>
      </w:pPr>
      <w:r>
        <w:rPr>
          <w:rFonts w:ascii="Arial" w:cs="Arial" w:eastAsia="Arial" w:hAnsi="Arial"/>
          <w:sz w:val="22"/>
          <w:szCs w:val="22"/>
        </w:rPr>
        <w:t xml:space="preserve">Answer: (B) | A drum dumper with containment collar: the 200-L drum (containing API) is loaded onto the dumper tray; a flexible containment collar attached to the drum mouth connects to the receiving vessel (dispensing hopper or IBC). The dumper tilts and inverts the drum within the collar — API discharges into the vessel without any open powder. Integral dust extraction on the collar captures any airborne dust. Essential for OEB 3/4 compounds where open drum-tipping would expose operators to potent API dust.</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13</w:t>
      </w:r>
    </w:p>
    <w:p>
      <w:pPr>
        <w:spacing w:after="80" w:before="80"/>
        <w:jc w:val="both"/>
      </w:pPr>
      <w:r>
        <w:rPr>
          <w:rFonts w:ascii="Arial" w:cs="Arial" w:eastAsia="Arial" w:hAnsi="Arial"/>
          <w:sz w:val="22"/>
          <w:szCs w:val="22"/>
        </w:rPr>
        <w:t xml:space="preserve">Q1. Define material handling. State five GMP principles that must be maintained in pharmaceutical material handling.</w:t>
      </w:r>
    </w:p>
    <w:p>
      <w:pPr>
        <w:spacing w:after="80" w:before="80"/>
        <w:jc w:val="both"/>
      </w:pPr>
      <w:r>
        <w:rPr>
          <w:rFonts w:ascii="Arial" w:cs="Arial" w:eastAsia="Arial" w:hAnsi="Arial"/>
          <w:sz w:val="22"/>
          <w:szCs w:val="22"/>
        </w:rPr>
        <w:t xml:space="preserve">Q2. Compare dense-phase and dilute-phase pneumatic conveying — air velocity, solid loading, pressure, and pharmaceutical applications.</w:t>
      </w:r>
    </w:p>
    <w:p>
      <w:pPr>
        <w:spacing w:after="80" w:before="80"/>
        <w:jc w:val="both"/>
      </w:pPr>
      <w:r>
        <w:rPr>
          <w:rFonts w:ascii="Arial" w:cs="Arial" w:eastAsia="Arial" w:hAnsi="Arial"/>
          <w:sz w:val="22"/>
          <w:szCs w:val="22"/>
        </w:rPr>
        <w:t xml:space="preserve">Q3. What is an IBC? Describe its construction features and the split-butterfly valve. How does IBC blending improve GMP compliance over conventional blending?</w:t>
      </w:r>
    </w:p>
    <w:p>
      <w:pPr>
        <w:spacing w:after="80" w:before="80"/>
        <w:jc w:val="both"/>
      </w:pPr>
      <w:r>
        <w:rPr>
          <w:rFonts w:ascii="Arial" w:cs="Arial" w:eastAsia="Arial" w:hAnsi="Arial"/>
          <w:sz w:val="22"/>
          <w:szCs w:val="22"/>
        </w:rPr>
        <w:t xml:space="preserve">Q4. Explain the OEB (Occupational Exposure Band) system. What containment equipment is required for OEB 4 and OEB 5 compounds?</w:t>
      </w:r>
    </w:p>
    <w:p>
      <w:pPr>
        <w:spacing w:after="80" w:before="80"/>
        <w:jc w:val="both"/>
      </w:pPr>
      <w:r>
        <w:rPr>
          <w:rFonts w:ascii="Arial" w:cs="Arial" w:eastAsia="Arial" w:hAnsi="Arial"/>
          <w:sz w:val="22"/>
          <w:szCs w:val="22"/>
        </w:rPr>
        <w:t xml:space="preserve">Q5. Describe the cold chain requirements for vaccines stored at 2–8°C and ultra-cold mRNA vaccines stored at −80°C. Include monitoring requirements.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13</w:t>
      </w:r>
    </w:p>
    <w:p>
      <w:pPr>
        <w:spacing w:after="80" w:before="80"/>
        <w:jc w:val="both"/>
      </w:pPr>
      <w:r>
        <w:rPr>
          <w:rFonts w:ascii="Arial" w:cs="Arial" w:eastAsia="Arial" w:hAnsi="Arial"/>
          <w:sz w:val="22"/>
          <w:szCs w:val="22"/>
        </w:rPr>
        <w:t xml:space="preserve">Q1. Describe material handling equipment in pharmaceutical manufacturing. Include: belt conveyor (construction, working, applications); screw conveyor (types, applications, limitations); pneumatic conveying (dilute vs dense phase, advantages, pharmaceutical use); vibrating conveyor (principle, fragile product applications). Describe intermediate bulk containers (IBCs) and the split-butterfly valve system.</w:t>
      </w:r>
    </w:p>
    <w:p>
      <w:pPr>
        <w:spacing w:after="80" w:before="80"/>
        <w:jc w:val="both"/>
      </w:pPr>
      <w:r>
        <w:rPr>
          <w:rFonts w:ascii="Arial" w:cs="Arial" w:eastAsia="Arial" w:hAnsi="Arial"/>
          <w:sz w:val="22"/>
          <w:szCs w:val="22"/>
        </w:rPr>
        <w:t xml:space="preserve">Q2. Write a comprehensive note on pharmaceutical material storage and containment. Describe: silos and large storage vessels (types, mass flow design, GMP requirements); cold chain logistics (temperature zones, monitoring, MKT assessment); OEB classification and containment solutions for potent APIs (OEB 1–5); automated guided vehicles (AGVs) and their GMP advantages. Include the Cipla IBC blending industry case study.</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2026-05-31T03:26:48.096Z</dcterms:created>
  <dcterms:modified xsi:type="dcterms:W3CDTF">2026-05-31T03:26:48.106Z</dcterms:modified>
</cp:coreProperties>
</file>

<file path=docProps/custom.xml><?xml version="1.0" encoding="utf-8"?>
<Properties xmlns="http://schemas.openxmlformats.org/officeDocument/2006/custom-properties" xmlns:vt="http://schemas.openxmlformats.org/officeDocument/2006/docPropsVTypes"/>
</file>