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Times New Roman" w:hAnsi="Times New Roman"/>
          <w:b/>
          <w:sz w:val="28"/>
        </w:rPr>
        <w:t>A VOCATIONAL TRAINING REPORT</w:t>
        <w:br/>
        <w:t>ON</w:t>
      </w:r>
    </w:p>
    <w:p>
      <w:pPr>
        <w:spacing w:before="200" w:after="240"/>
        <w:jc w:val="center"/>
      </w:pPr>
      <w:r>
        <w:rPr>
          <w:rFonts w:ascii="Times New Roman" w:hAnsi="Times New Roman"/>
          <w:b/>
          <w:color w:val="B40000"/>
          <w:sz w:val="32"/>
        </w:rPr>
        <w:t>“LuminaBP: Non-Invasive Continuous Blood Pressure Estimation via Remote Photoplethysmography and Deep Learning”</w:t>
      </w:r>
    </w:p>
    <w:p>
      <w:pPr>
        <w:spacing w:before="160" w:after="160"/>
        <w:jc w:val="center"/>
      </w:pPr>
      <w:r>
        <w:rPr>
          <w:rFonts w:ascii="Times New Roman" w:hAnsi="Times New Roman"/>
          <w:b/>
          <w:sz w:val="24"/>
        </w:rPr>
        <w:t>A Training Report Submitted to</w:t>
        <w:br/>
        <w:t>CHHATTISGARH SWAMI VIVEKANANDA TECHNICAL UNIVERSITY, BHILAI (C.G.), INDIA</w:t>
        <w:br/>
        <w:br/>
        <w:t>For the partial fulfillment of the award of degree</w:t>
        <w:br/>
        <w:t>BACHELOR OF TECHNOLOGY</w:t>
        <w:br/>
        <w:t>In</w:t>
        <w:br/>
        <w:t>COMPUTER SCIENCE &amp; ENGINEERING</w:t>
      </w:r>
    </w:p>
    <w:p>
      <w:pPr>
        <w:spacing w:before="120" w:after="12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143000" cy="1143000"/>
                    </a:xfrm>
                    <a:prstGeom prst="rect"/>
                  </pic:spPr>
                </pic:pic>
              </a:graphicData>
            </a:graphic>
          </wp:inline>
        </w:drawing>
      </w:r>
    </w:p>
    <w:p>
      <w:pPr>
        <w:spacing w:before="80" w:after="80"/>
        <w:jc w:val="center"/>
      </w:pPr>
      <w:r>
        <w:rPr>
          <w:rFonts w:ascii="Times New Roman" w:hAnsi="Times New Roman"/>
          <w:b/>
          <w:sz w:val="24"/>
        </w:rPr>
        <w:t>By</w:t>
        <w:br/>
        <w:t>Vedang Bhatt</w:t>
        <w:br/>
        <w:t>(Roll No: 309302224050, Enrollment No: CE4669)</w:t>
        <w:br/>
        <w:br/>
        <w:t>Under the Training of</w:t>
        <w:br/>
        <w:t>Dr. Anurag Singh</w:t>
        <w:br/>
        <w:t>Associate Professor, IIIT Naya Raipur</w:t>
        <w:br/>
        <w:t>Training In-Charge</w:t>
      </w:r>
    </w:p>
    <w:p>
      <w:pPr>
        <w:spacing w:before="240" w:after="0"/>
        <w:jc w:val="center"/>
      </w:pPr>
      <w:r>
        <w:rPr>
          <w:rFonts w:ascii="Times New Roman" w:hAnsi="Times New Roman"/>
          <w:b/>
          <w:sz w:val="22"/>
        </w:rPr>
        <w:t>DEPARTMENT OF COMPUTER SCIENCE &amp; ENGINEERING</w:t>
        <w:br/>
        <w:t>BHILAI INSTITUTE OF TECHNOLOGY, RAIPUR</w:t>
        <w:br/>
        <w:t>Village – Kendri, Near Abhanpur, Atal Nagar, Raipur – 493661 (C.G.) India</w:t>
        <w:br/>
        <w:br/>
        <w:t>BATCH 2024 - 2028</w:t>
      </w:r>
    </w:p>
    <w:p>
      <w:pPr>
        <w:sectPr>
          <w:pgSz w:w="12240" w:h="15840"/>
          <w:pgMar w:top="1267" w:right="1440" w:bottom="1440" w:left="2160" w:header="720" w:footer="720" w:gutter="0"/>
          <w:cols w:space="720"/>
          <w:docGrid w:linePitch="360"/>
          <w:pgBorders w:offsetFrom="page">
            <w:top w:val="double" w:sz="12" w:space="24" w:color="1B4332"/>
            <w:bottom w:val="double" w:sz="12" w:space="24" w:color="1B4332"/>
            <w:left w:val="double" w:sz="12" w:space="24" w:color="1B4332"/>
            <w:right w:val="double" w:sz="12" w:space="24" w:color="1B4332"/>
          </w:pgBorders>
        </w:sectPr>
      </w:pPr>
    </w:p>
    <w:p>
      <w:pPr>
        <w:keepNext/>
        <w:spacing w:before="320" w:after="280"/>
        <w:jc w:val="center"/>
      </w:pPr>
      <w:r>
        <w:rPr>
          <w:rFonts w:ascii="Times New Roman" w:hAnsi="Times New Roman"/>
          <w:b/>
          <w:color w:val="000000"/>
          <w:sz w:val="30"/>
        </w:rPr>
        <w:t>DECLARATION</w:t>
      </w:r>
    </w:p>
    <w:p>
      <w:pPr>
        <w:spacing w:before="0" w:after="100" w:line="348" w:lineRule="auto"/>
        <w:jc w:val="both"/>
      </w:pPr>
      <w:r>
        <w:rPr>
          <w:rFonts w:ascii="Times New Roman" w:hAnsi="Times New Roman"/>
          <w:color w:val="000000"/>
          <w:sz w:val="24"/>
        </w:rPr>
        <w:t>I the undersigned solemnly declare that the Vocational Training report on “LuminaBP: Non-Invasive Continuous Blood Pressure Estimation via Remote Photoplethysmography and Deep Learning” is based on my training work carried out during my vocational duration under the supervision of Dr. Anurag Singh, Associate Professor from IIIT Naya Raipur.</w:t>
      </w:r>
    </w:p>
    <w:p>
      <w:pPr>
        <w:spacing w:before="0" w:after="100" w:line="348" w:lineRule="auto"/>
        <w:jc w:val="both"/>
      </w:pPr>
      <w:r>
        <w:rPr>
          <w:rFonts w:ascii="Times New Roman" w:hAnsi="Times New Roman"/>
          <w:color w:val="000000"/>
          <w:sz w:val="24"/>
        </w:rPr>
        <w:t>I assert that the statements made and conclusions drawn are an outcome of the Vocational Training/Internship. I further declare that to the best of my knowledge and belief that this report does not contain any relevant work which has been submitted earlier.</w:t>
      </w:r>
    </w:p>
    <w:p>
      <w:pPr>
        <w:spacing w:before="720" w:after="120"/>
      </w:pPr>
    </w:p>
    <w:p>
      <w:pPr>
        <w:spacing w:line="360" w:lineRule="auto"/>
        <w:jc w:val="left"/>
      </w:pPr>
      <w:r>
        <w:rPr>
          <w:rFonts w:ascii="Times New Roman" w:hAnsi="Times New Roman"/>
          <w:b/>
          <w:sz w:val="24"/>
        </w:rPr>
        <w:t>Signature              : _______________________</w:t>
        <w:br/>
        <w:t>Student’s Name    : Mr. Vedang Bhatt</w:t>
        <w:br/>
        <w:t>Roll No.                 : 309302224050</w:t>
        <w:br/>
        <w:t>Enrollment No.      : CE4669</w:t>
      </w:r>
    </w:p>
    <w:p>
      <w:r>
        <w:br w:type="page"/>
      </w:r>
    </w:p>
    <w:p>
      <w:pPr>
        <w:keepNext/>
        <w:spacing w:before="320" w:after="280"/>
        <w:jc w:val="center"/>
      </w:pPr>
      <w:r>
        <w:rPr>
          <w:rFonts w:ascii="Times New Roman" w:hAnsi="Times New Roman"/>
          <w:b/>
          <w:color w:val="000000"/>
          <w:sz w:val="30"/>
        </w:rPr>
        <w:t>CERTIFICATE</w:t>
      </w:r>
    </w:p>
    <w:p>
      <w:pPr>
        <w:spacing w:before="0" w:after="100" w:line="348" w:lineRule="auto"/>
        <w:jc w:val="both"/>
      </w:pPr>
      <w:r>
        <w:rPr>
          <w:rFonts w:ascii="Times New Roman" w:hAnsi="Times New Roman"/>
          <w:color w:val="000000"/>
          <w:sz w:val="24"/>
        </w:rPr>
        <w:t>This is to certify that the report of the vocational training on “LuminaBP: Non-Invasive Continuous Blood Pressure Estimation via Remote Photoplethysmography and Deep Learning” is the bonafide work carried out by Mr. Vedang Bhatt studying in 4th semester in Computer Science &amp; Engineering branch at Bhilai Institute of Technology, Raipur, affiliated to Chhattisgarh Swami Vivekananda Technical University, Bhilai (C.G.), India under the guidance and supervision of Dr. Anurag Singh, Associate Professor at IIIT Naya Raipur.</w:t>
      </w:r>
    </w:p>
    <w:p>
      <w:pPr>
        <w:spacing w:before="0" w:after="100" w:line="348" w:lineRule="auto"/>
        <w:jc w:val="both"/>
      </w:pPr>
      <w:r>
        <w:rPr>
          <w:rFonts w:ascii="Times New Roman" w:hAnsi="Times New Roman"/>
          <w:color w:val="000000"/>
          <w:sz w:val="24"/>
        </w:rPr>
        <w:t>To the best of my knowledge and belief the report:</w:t>
      </w:r>
    </w:p>
    <w:p>
      <w:pPr>
        <w:pStyle w:val="ListBullet"/>
        <w:spacing w:line="360" w:lineRule="auto"/>
      </w:pPr>
      <w:r>
        <w:rPr>
          <w:rFonts w:ascii="Times New Roman" w:hAnsi="Times New Roman"/>
          <w:sz w:val="24"/>
        </w:rPr>
        <w:t>Embodies the original work of the candidate himself.</w:t>
      </w:r>
    </w:p>
    <w:p>
      <w:pPr>
        <w:pStyle w:val="ListBullet"/>
        <w:spacing w:line="360" w:lineRule="auto"/>
      </w:pPr>
      <w:r>
        <w:rPr>
          <w:rFonts w:ascii="Times New Roman" w:hAnsi="Times New Roman"/>
          <w:sz w:val="24"/>
        </w:rPr>
        <w:t>Has duly been completed in full compliance with the training curriculum.</w:t>
      </w:r>
    </w:p>
    <w:p>
      <w:pPr>
        <w:pStyle w:val="ListBullet"/>
        <w:spacing w:line="360" w:lineRule="auto"/>
      </w:pPr>
      <w:r>
        <w:rPr>
          <w:rFonts w:ascii="Times New Roman" w:hAnsi="Times New Roman"/>
          <w:sz w:val="24"/>
        </w:rPr>
        <w:t>Fulfills the requirements of the ordinance relating to vocational training/internship with respect to the university curriculum.</w:t>
      </w:r>
    </w:p>
    <w:p>
      <w:pPr>
        <w:spacing w:before="0" w:after="100" w:line="348" w:lineRule="auto"/>
        <w:jc w:val="both"/>
      </w:pPr>
      <w:r>
        <w:rPr>
          <w:rFonts w:ascii="Times New Roman" w:hAnsi="Times New Roman"/>
          <w:color w:val="000000"/>
          <w:sz w:val="24"/>
        </w:rPr>
        <w:t>For being referred to the examiners.</w:t>
      </w:r>
    </w:p>
    <w:p>
      <w:pPr>
        <w:spacing w:before="960" w:after="120"/>
      </w:pP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4320"/>
          </w:tcPr>
          <w:p>
            <w:pPr>
              <w:spacing w:line="312" w:lineRule="auto" w:before="0" w:after="0"/>
              <w:jc w:val="left"/>
            </w:pPr>
            <w:r>
              <w:rPr>
                <w:rFonts w:ascii="Times New Roman" w:hAnsi="Times New Roman"/>
                <w:b/>
                <w:sz w:val="24"/>
              </w:rPr>
              <w:t>Signature</w:t>
              <w:br/>
              <w:br/>
              <w:t>___________________________</w:t>
              <w:br/>
            </w:r>
            <w:r>
              <w:rPr>
                <w:rFonts w:ascii="Times New Roman" w:hAnsi="Times New Roman"/>
                <w:b/>
                <w:sz w:val="24"/>
              </w:rPr>
              <w:t>Dr. OmPrakash Barapatre</w:t>
              <w:br/>
            </w:r>
            <w:r>
              <w:rPr>
                <w:rFonts w:ascii="Times New Roman" w:hAnsi="Times New Roman"/>
                <w:b w:val="0"/>
                <w:sz w:val="22"/>
              </w:rPr>
              <w:t>HOD (CSE)</w:t>
              <w:br/>
              <w:t>Department of Computer Science &amp; Engineering</w:t>
            </w:r>
          </w:p>
        </w:tc>
        <w:tc>
          <w:tcPr>
            <w:tcW w:type="dxa" w:w="4320"/>
          </w:tcPr>
          <w:p>
            <w:pPr>
              <w:spacing w:line="312" w:lineRule="auto" w:before="0" w:after="0"/>
              <w:jc w:val="right"/>
            </w:pPr>
            <w:r>
              <w:rPr>
                <w:rFonts w:ascii="Times New Roman" w:hAnsi="Times New Roman"/>
                <w:b/>
                <w:sz w:val="24"/>
              </w:rPr>
              <w:t>Signature</w:t>
              <w:br/>
              <w:br/>
              <w:t>___________________________</w:t>
              <w:br/>
            </w:r>
            <w:r>
              <w:rPr>
                <w:rFonts w:ascii="Times New Roman" w:hAnsi="Times New Roman"/>
                <w:b/>
                <w:sz w:val="24"/>
              </w:rPr>
              <w:t>Prof. Aparna Pandey</w:t>
              <w:br/>
            </w:r>
            <w:r>
              <w:rPr>
                <w:rFonts w:ascii="Times New Roman" w:hAnsi="Times New Roman"/>
                <w:b w:val="0"/>
                <w:sz w:val="22"/>
              </w:rPr>
              <w:t>T&amp;P In-Charge (CSE)</w:t>
              <w:br/>
              <w:t>Department of Computer Science &amp; Engineering</w:t>
            </w:r>
          </w:p>
        </w:tc>
      </w:tr>
    </w:tbl>
    <w:p>
      <w:r>
        <w:br w:type="page"/>
      </w:r>
    </w:p>
    <w:p>
      <w:pPr>
        <w:keepNext/>
        <w:spacing w:before="320" w:after="280"/>
        <w:jc w:val="center"/>
      </w:pPr>
      <w:r>
        <w:rPr>
          <w:rFonts w:ascii="Times New Roman" w:hAnsi="Times New Roman"/>
          <w:b/>
          <w:color w:val="000000"/>
          <w:sz w:val="30"/>
        </w:rPr>
        <w:t>ACKNOWLEDGMENTS</w:t>
      </w:r>
    </w:p>
    <w:p>
      <w:pPr>
        <w:spacing w:before="0" w:after="100" w:line="348" w:lineRule="auto"/>
        <w:jc w:val="both"/>
      </w:pPr>
      <w:r>
        <w:rPr>
          <w:rFonts w:ascii="Times New Roman" w:hAnsi="Times New Roman"/>
          <w:color w:val="000000"/>
          <w:sz w:val="24"/>
        </w:rPr>
        <w:t>I would like to express my deepest gratitude and sincere appreciation to my vocational training supervisor, Dr. Anurag Singh, Associate Professor at IIIT Naya Raipur, for his exceptional guidance, constant technical inspiration, and rigorous scholarly critique throughout the duration of this research. His extensive mastery of biomedical signal processing, machine learning theory, and statistical modeling provided the intellectual foundation that transformed an ambitious vision of non-contact physiological sensing into a clinically sound, functional reality.</w:t>
      </w:r>
    </w:p>
    <w:p>
      <w:pPr>
        <w:spacing w:before="0" w:after="100" w:line="348" w:lineRule="auto"/>
        <w:jc w:val="both"/>
      </w:pPr>
      <w:r>
        <w:rPr>
          <w:rFonts w:ascii="Times New Roman" w:hAnsi="Times New Roman"/>
          <w:color w:val="000000"/>
          <w:sz w:val="24"/>
        </w:rPr>
        <w:t>I extend my sincere thanks to the administration, faculty, and research staff at IIIT NAYA RAIPUR for fostering a world-class, intellectually stimulating environment and granting access to specialized high-performance computational infrastructure.</w:t>
      </w:r>
    </w:p>
    <w:p>
      <w:pPr>
        <w:spacing w:before="0" w:after="100" w:line="348" w:lineRule="auto"/>
        <w:jc w:val="both"/>
      </w:pPr>
      <w:r>
        <w:rPr>
          <w:rFonts w:ascii="Times New Roman" w:hAnsi="Times New Roman"/>
          <w:color w:val="000000"/>
          <w:sz w:val="24"/>
        </w:rPr>
        <w:t>I am profoundly thankful to Prof. OmPrakash Barapatre, Head of the Department of Computer Science &amp; Engineering at Bhilai Institute of Technology (BIT), Raipur, for his continuous encouragement, academic leadership, and administrative support in facilitating our participation in advanced vocational research.</w:t>
      </w:r>
    </w:p>
    <w:p>
      <w:pPr>
        <w:spacing w:before="0" w:after="100" w:line="348" w:lineRule="auto"/>
        <w:jc w:val="both"/>
      </w:pPr>
      <w:r>
        <w:rPr>
          <w:rFonts w:ascii="Times New Roman" w:hAnsi="Times New Roman"/>
          <w:color w:val="000000"/>
          <w:sz w:val="24"/>
        </w:rPr>
        <w:t>Finally, I am indebted to my parents, family members, and colleagues for their constant moral support, patience, and motivation during intensive development phases.</w:t>
      </w:r>
    </w:p>
    <w:p>
      <w:pPr>
        <w:spacing w:before="480"/>
      </w:pPr>
      <w:r>
        <w:rPr>
          <w:rFonts w:ascii="Times New Roman" w:hAnsi="Times New Roman"/>
          <w:b/>
          <w:sz w:val="24"/>
        </w:rPr>
        <w:t>Vedang Bhatt</w:t>
        <w:br/>
        <w:t>B.Tech. Computer Science &amp; Engineering</w:t>
        <w:br/>
        <w:t>Bhilai Institute of Technology, Raipur</w:t>
      </w:r>
    </w:p>
    <w:p>
      <w:r>
        <w:br w:type="page"/>
      </w:r>
    </w:p>
    <w:p>
      <w:pPr>
        <w:keepNext/>
        <w:spacing w:before="320" w:after="280"/>
        <w:jc w:val="center"/>
      </w:pPr>
      <w:r>
        <w:rPr>
          <w:rFonts w:ascii="Times New Roman" w:hAnsi="Times New Roman"/>
          <w:b/>
          <w:color w:val="000000"/>
          <w:sz w:val="30"/>
        </w:rPr>
        <w:t>ABSTRACT</w:t>
      </w:r>
    </w:p>
    <w:p>
      <w:pPr>
        <w:spacing w:before="0" w:after="100" w:line="348" w:lineRule="auto"/>
        <w:jc w:val="both"/>
      </w:pPr>
      <w:r>
        <w:rPr>
          <w:rFonts w:ascii="Times New Roman" w:hAnsi="Times New Roman"/>
          <w:color w:val="000000"/>
          <w:sz w:val="24"/>
        </w:rPr>
        <w:t>Hypertension represents a leading global risk factor for cardiovascular diseases, stroke, and premature mortality, affecting over 1.28 billion adults worldwide. Traditional arterial blood pressure (BP) assessment relies on inflatable pneumatic cuffs, which provide only intermittent, reactive readings and introduce substantial physical disruption that precludes continuous nocturnal monitoring. While contact photoplethysmography (cPPG) wearables have emerged as alternatives, they suffer from sensor detachment, cutaneous irritation, and motion susceptibility. Contactless remote photoplethysmography (rPPG) via standard RGB cameras offers a revolutionary, unobtrusive paradigm for ubiquitous cardiovascular tracking, yet existing optical BP frameworks suffer from severe signal degradation, quantization noise floors, and catastrophic regression-to-the-mean ('template collapse').</w:t>
      </w:r>
    </w:p>
    <w:p>
      <w:pPr>
        <w:spacing w:before="0" w:after="100" w:line="348" w:lineRule="auto"/>
        <w:jc w:val="both"/>
      </w:pPr>
      <w:r>
        <w:rPr>
          <w:rFonts w:ascii="Times New Roman" w:hAnsi="Times New Roman"/>
          <w:color w:val="000000"/>
          <w:sz w:val="24"/>
        </w:rPr>
        <w:t>In this work, we present LuminaBP, an end-to-end, clinically compliant machine learning and deep sequential modeling framework for non-invasive, continuous blood pressure estimation from facial video streams. The proposed system integrates an engineered optical-hemodynamic acquisition pipeline with a novel decoupled neural architecture (MODEL-06-SepHead). The optical pipeline employs sensor-level exposure and white-balance locking, 468-point MediaPipe facial mesh tracking across bilateral malar and upper forehead microvascular regions of interest (ROIs), Plane-Orthogonal-to-Skin (POS) chrominance projection, and adaptive Savitzky-Golay polynomial smoothing to suppress high-frequency quantization noise while strictly preserving subtle dicrotic notch morphology.</w:t>
      </w:r>
    </w:p>
    <w:p>
      <w:pPr>
        <w:spacing w:before="0" w:after="100" w:line="348" w:lineRule="auto"/>
        <w:jc w:val="both"/>
      </w:pPr>
      <w:r>
        <w:rPr>
          <w:rFonts w:ascii="Times New Roman" w:hAnsi="Times New Roman"/>
          <w:color w:val="000000"/>
          <w:sz w:val="24"/>
        </w:rPr>
        <w:t>The deep learning engine extracts spatial and morphological features via a multi-scale 1D Residual Convolutional backbone, captures temporal pulsatile dynamics using Bidirectional Gated Recurrent Units (BiGRU) augmented with Multi-Head Self-Attention (MHSA), and predicts Systolic Blood Pressure (SBP) and Diastolic Blood Pressure (DBP) through mathematically decoupled regression heads to resolve physiological gradient conflicts.</w:t>
      </w:r>
    </w:p>
    <w:p>
      <w:pPr>
        <w:spacing w:before="0" w:after="100" w:line="348" w:lineRule="auto"/>
        <w:jc w:val="both"/>
      </w:pPr>
      <w:r>
        <w:rPr>
          <w:rFonts w:ascii="Times New Roman" w:hAnsi="Times New Roman"/>
          <w:color w:val="000000"/>
          <w:sz w:val="24"/>
        </w:rPr>
        <w:t>Rigorous experimental validation was conducted on the gated MCD dataset (17,943 valid 10-second windows across 599 subjects) under a strict, leak-free 100% subject-level split protocol (419 Train / 90 Val / 90 Test). Experimental results demonstrate that LuminaBP achieves an unprecedented Diastolic BP Mean Absolute Error (MAE) of 5.91 mmHg (RMSE = 8.54 mmHg, Pearson r = 0.355), comfortably satisfying the stringent ISO/AAMI SP10 clinical threshold (MAE &lt;= 8.0 mmHg). For Systolic BP, the model achieves an MAE of 10.12 mmHg (RMSE = 14.58 mmHg, Pearson r = 0.388), outperforming conventional LSTM and monolithic CNN baselines. The entire pipeline is optimized for edge deployment on mobile Android hardware via 8-bit quantized TensorFlow Lite, establishing a robust, contactless digital biomarker platform for next-generation cardiovascular diagnostics.</w:t>
      </w:r>
    </w:p>
    <w:p>
      <w:pPr>
        <w:spacing w:before="160"/>
      </w:pPr>
      <w:r>
        <w:rPr>
          <w:rFonts w:ascii="Times New Roman" w:hAnsi="Times New Roman"/>
          <w:b/>
          <w:sz w:val="22"/>
        </w:rPr>
        <w:t xml:space="preserve">Keywords: </w:t>
      </w:r>
      <w:r>
        <w:rPr>
          <w:rFonts w:ascii="Times New Roman" w:hAnsi="Times New Roman"/>
          <w:i/>
          <w:sz w:val="22"/>
        </w:rPr>
        <w:t>Remote Photoplethysmography (rPPG), Cuffless Blood Pressure Estimation, Deep Learning, LuminaBP, MODEL-06-SepHead, Savitzky-Golay Denoising, ISO/AAMI SP10 Compliance, Mobile Health.</w:t>
      </w:r>
    </w:p>
    <w:p>
      <w:r>
        <w:br w:type="page"/>
      </w:r>
    </w:p>
    <w:p>
      <w:pPr>
        <w:keepNext/>
        <w:spacing w:before="320" w:after="280"/>
        <w:jc w:val="center"/>
      </w:pPr>
      <w:r>
        <w:rPr>
          <w:rFonts w:ascii="Times New Roman" w:hAnsi="Times New Roman"/>
          <w:b/>
          <w:color w:val="000000"/>
          <w:sz w:val="30"/>
        </w:rPr>
        <w:t>TABLE OF CONTENTS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880"/>
        <w:gridCol w:w="2880"/>
        <w:gridCol w:w="2880"/>
      </w:tblGrid>
      <w:tr>
        <w:trPr>
          <w:cantSplit/>
          <w:tblHeader/>
        </w:trPr>
        <w:tc>
          <w:tcPr>
            <w:tcW w:type="dxa" w:w="936"/>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Section</w:t>
            </w:r>
          </w:p>
        </w:tc>
        <w:tc>
          <w:tcPr>
            <w:tcW w:type="dxa" w:w="6696"/>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Title</w:t>
            </w:r>
          </w:p>
        </w:tc>
        <w:tc>
          <w:tcPr>
            <w:tcW w:type="dxa" w:w="100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Page No.</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Declaration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i</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Certificate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ii</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Acknowledgments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iii</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Abstract</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iv</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List of Figures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viii</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List of Tables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ix</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Abbreviations and Nomenclature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x</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Introduction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01</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Background and Clinical Context</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01</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Problem Statement</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02</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Motivation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Objectives of the Project</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Scope of the Project (Inclusions &amp; Explicit Exclusions)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1.6</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Project Contributions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1.7</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Organization of the Report</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Vocational Training Curriculum &amp; Theoretical Foundations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08</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2.1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Scientific Computing Foundations in Python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08</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2.2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Data Preprocessing, Cleaning &amp; Statistical Conditioning</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09</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2.3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Machine Learning Taxonomy &amp; Mathematical Core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11</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2.4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Deep Learning Architectures &amp; Optimization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2.5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Advanced AI Frontiers: NLP, Transformers, RAG &amp; Agentic Systems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15</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Literature Review &amp; Biomedical Signal Analysis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18</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Physiological Mechanisms of Blood Pressure Regulation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18</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Optical Foundations of Remote Photoplethysmography (rPPG)</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19</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Classical and Deep Learning rPPG Extraction Algorithms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20</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Deep Learning for Optical Blood Pressure Estimation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21</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Comparative Analysis of Existing Studies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21</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3.6</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Research Gaps &amp; The Normotensive Regression Trap</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22</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3.7</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Proposed LuminaBP Solution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Proposed Methodology &amp; System Architecture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24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System Overview &amp; Architectural Pipeline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1: High-Stability Video Acquisition &amp; Exposure Lock</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25</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2: Facial Mesh Landmarking &amp; Dynamic Multi-ROI Tracking</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3: Chrominance Projection (POS Algorithm)</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27</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4: Multi-Stage Signal Conditioning &amp; Savitzky-Golay Denoising</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27</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4.6</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5: Hemodynamic &amp; Morphological Feature Engineering</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28</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4.7</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6: Deep Sequential Architecture — MODEL-06-SepHead</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29</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4.8</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Module 7: Calibration Strategy &amp; Signal Quality Rejection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30</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Implementation Details &amp; Experimental Protocol</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32</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5.1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Computing Environment, Frameworks, and Libraries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32</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5.2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Hardware Specifications &amp; Mobile Testbeds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32</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5.3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Clinical Benchmark Datasets &amp; Cohort Curation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5.4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Subject-Independent Split Protocol</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5.5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Model Training Protocol, Loss Formulations &amp; Optimization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5.6</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Mobile Android Application Architecture (LuminaBP Mobile)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35</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06</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Experimental Results and Discussion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36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Performance Evaluation Standards &amp; Clinical Metrics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Comparative Model Performance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Detailed Analysis of Diastolic and Systolic Blood Pressure Estimation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37</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Clinical Agreement via Bland-Altman Analysis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38</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6.5</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Correlation &amp; Error Distribution Analysis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39</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6.6</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Comprehensive Ablation Studies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40</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6.7</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Hemodynamic Discussion &amp; Physiological Interpretation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41</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07</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b/>
                <w:color w:val="000000"/>
                <w:sz w:val="19"/>
              </w:rPr>
              <w:t>Conclusion and Future Scope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b/>
                <w:color w:val="000000"/>
                <w:sz w:val="19"/>
              </w:rPr>
              <w:t>43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7.1</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Conclusion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43</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7.2</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Limitations of the Current Study</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7.3</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Future Research Directions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44</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t>7.4</w:t>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Overall Summary</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45</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References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46</w:t>
            </w:r>
          </w:p>
        </w:tc>
      </w:tr>
      <w:tr>
        <w:trPr>
          <w:cantSplit/>
        </w:trPr>
        <w:tc>
          <w:tcPr>
            <w:tcW w:type="dxa" w:w="936"/>
            <w:tcMar>
              <w:top w:w="20" w:type="dxa"/>
              <w:bottom w:w="20" w:type="dxa"/>
              <w:left w:w="50" w:type="dxa"/>
              <w:right w:w="50" w:type="dxa"/>
            </w:tcMar>
          </w:tcPr>
          <w:p>
            <w:pPr>
              <w:spacing w:before="10" w:after="10" w:line="252" w:lineRule="auto"/>
              <w:jc w:val="center"/>
            </w:pPr>
            <w:r>
              <w:rPr>
                <w:rFonts w:ascii="Times New Roman" w:hAnsi="Times New Roman"/>
                <w:color w:val="000000"/>
                <w:sz w:val="19"/>
              </w:rPr>
            </w:r>
          </w:p>
        </w:tc>
        <w:tc>
          <w:tcPr>
            <w:tcW w:type="dxa" w:w="6696"/>
            <w:tcMar>
              <w:top w:w="20" w:type="dxa"/>
              <w:bottom w:w="20" w:type="dxa"/>
              <w:left w:w="50" w:type="dxa"/>
              <w:right w:w="50" w:type="dxa"/>
            </w:tcMar>
          </w:tcPr>
          <w:p>
            <w:pPr>
              <w:spacing w:before="10" w:after="10" w:line="252" w:lineRule="auto"/>
              <w:jc w:val="left"/>
            </w:pPr>
            <w:r>
              <w:rPr>
                <w:rFonts w:ascii="Times New Roman" w:hAnsi="Times New Roman"/>
                <w:color w:val="000000"/>
                <w:sz w:val="19"/>
              </w:rPr>
              <w:t>Appendix A: Engineering Architecture &amp; Baseline System Specifications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48</w:t>
            </w:r>
          </w:p>
        </w:tc>
      </w:tr>
    </w:tbl>
    <w:p>
      <w:pPr>
        <w:spacing w:before="0" w:after="80"/>
      </w:pPr>
    </w:p>
    <w:p>
      <w:r>
        <w:br w:type="page"/>
      </w:r>
    </w:p>
    <w:p>
      <w:pPr>
        <w:keepNext/>
        <w:spacing w:before="320" w:after="280"/>
        <w:jc w:val="center"/>
      </w:pPr>
      <w:r>
        <w:rPr>
          <w:rFonts w:ascii="Times New Roman" w:hAnsi="Times New Roman"/>
          <w:b/>
          <w:color w:val="000000"/>
          <w:sz w:val="30"/>
        </w:rPr>
        <w:t>LIST OF FIGURES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880"/>
        <w:gridCol w:w="2880"/>
        <w:gridCol w:w="2880"/>
      </w:tblGrid>
      <w:tr>
        <w:trPr>
          <w:cantSplit/>
          <w:tblHeader/>
        </w:trPr>
        <w:tc>
          <w:tcPr>
            <w:tcW w:type="dxa" w:w="1224"/>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Figure No.</w:t>
            </w:r>
          </w:p>
        </w:tc>
        <w:tc>
          <w:tcPr>
            <w:tcW w:type="dxa" w:w="640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Figure Name</w:t>
            </w:r>
          </w:p>
        </w:tc>
        <w:tc>
          <w:tcPr>
            <w:tcW w:type="dxa" w:w="100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Page No.</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3.1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Physiological Capillary Windkessel Damping &amp; Waveform Morphological Comparison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19</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4.1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End-to-End LuminaBP System Architecture &amp; Processing Pipeline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24</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4.2</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MediaPipe 468-Point Facial Mesh &amp; Bilateral Malar/Forehead ROIs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26</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4.3</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Multi-Stage Signal Conditioning &amp; Savitzky-Golay Denoising</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28</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4.4</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MODEL-06-SepHead Deep Neural Network Architecture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30</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5.1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rPPG Signal Extractor Benchmark Performance Comparison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34</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Bland-Altman Clinical Agreement Analysis on Test Cohort</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38</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6.2</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Actual vs. Predicted Blood Pressure Scatter Correlation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39</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6.3</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Mean Absolute Error (MAE) Boxplot Distribution across Test Cohorts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40</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6.4</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MODEL-06-SepHead Diagnostic Regression-to-the-Mean / Template Collapse Analysis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42</w:t>
            </w:r>
          </w:p>
        </w:tc>
      </w:tr>
    </w:tbl>
    <w:p>
      <w:pPr>
        <w:spacing w:before="0" w:after="80"/>
      </w:pPr>
    </w:p>
    <w:p>
      <w:r>
        <w:br w:type="page"/>
      </w:r>
    </w:p>
    <w:p>
      <w:pPr>
        <w:keepNext/>
        <w:spacing w:before="320" w:after="280"/>
        <w:jc w:val="center"/>
      </w:pPr>
      <w:r>
        <w:rPr>
          <w:rFonts w:ascii="Times New Roman" w:hAnsi="Times New Roman"/>
          <w:b/>
          <w:color w:val="000000"/>
          <w:sz w:val="30"/>
        </w:rPr>
        <w:t>LIST OF TABLES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880"/>
        <w:gridCol w:w="2880"/>
        <w:gridCol w:w="2880"/>
      </w:tblGrid>
      <w:tr>
        <w:trPr>
          <w:cantSplit/>
          <w:tblHeader/>
        </w:trPr>
        <w:tc>
          <w:tcPr>
            <w:tcW w:type="dxa" w:w="1224"/>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Table No.</w:t>
            </w:r>
          </w:p>
        </w:tc>
        <w:tc>
          <w:tcPr>
            <w:tcW w:type="dxa" w:w="640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Table Name</w:t>
            </w:r>
          </w:p>
        </w:tc>
        <w:tc>
          <w:tcPr>
            <w:tcW w:type="dxa" w:w="100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Page No.</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2.1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Machine Learning Performance Metrics Mathematical Summary</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12</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2.2</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Deep Learning Layer Activations and Mathematical Functions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13</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3.1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Comparative Analysis of State-of-the-Art Optical Blood Pressure Estimation Systems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21</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4.1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LuminaBP Multi-Stage Architectural Pipeline Specifications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24</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5.1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Software Stack and Computational Frameworks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32</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5.2</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Hardware Specifications for Training and On-Device Mobile Inference</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33</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5.3</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MCD Benchmark Dataset Cohort Partitioning &amp; Subject Isolation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34</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5.4</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Hyperparameter Configurations for MODEL-06-SepHead</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35</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Performance Comparison of Regression Models on Unseen Test Subjects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36</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6.2</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Blood Pressure Estimation Compliance with ISO/AAMI SP10 Standard</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37</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6.3</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British Hypertension Society (BHS) Standard Grading Evaluation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38</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6.4</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Comprehensive Ablation Study on Filtering, ROIs, and Decoupled Heads</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40</w:t>
            </w:r>
          </w:p>
        </w:tc>
      </w:tr>
      <w:tr>
        <w:trPr>
          <w:cantSplit/>
        </w:trPr>
        <w:tc>
          <w:tcPr>
            <w:tcW w:type="dxa" w:w="1224"/>
            <w:tcMar>
              <w:top w:w="20" w:type="dxa"/>
              <w:bottom w:w="20" w:type="dxa"/>
              <w:left w:w="50" w:type="dxa"/>
              <w:right w:w="50" w:type="dxa"/>
            </w:tcMar>
          </w:tcPr>
          <w:p>
            <w:pPr>
              <w:spacing w:before="10" w:after="10" w:line="252" w:lineRule="auto"/>
              <w:jc w:val="center"/>
            </w:pPr>
            <w:r>
              <w:rPr>
                <w:rFonts w:ascii="Times New Roman" w:hAnsi="Times New Roman"/>
                <w:color w:val="000000"/>
                <w:sz w:val="19"/>
              </w:rPr>
              <w:t>A.1</w:t>
            </w:r>
          </w:p>
        </w:tc>
        <w:tc>
          <w:tcPr>
            <w:tcW w:type="dxa" w:w="6408"/>
            <w:tcMar>
              <w:top w:w="20" w:type="dxa"/>
              <w:bottom w:w="20" w:type="dxa"/>
              <w:left w:w="50" w:type="dxa"/>
              <w:right w:w="50" w:type="dxa"/>
            </w:tcMar>
          </w:tcPr>
          <w:p>
            <w:pPr>
              <w:spacing w:before="10" w:after="10" w:line="252" w:lineRule="auto"/>
              <w:jc w:val="left"/>
            </w:pPr>
            <w:r>
              <w:rPr>
                <w:rFonts w:ascii="Times New Roman" w:hAnsi="Times New Roman"/>
                <w:color w:val="000000"/>
                <w:sz w:val="19"/>
              </w:rPr>
              <w:t>LuminaBP Model Checkpoint Manifest and Parameterization</w:t>
            </w:r>
          </w:p>
        </w:tc>
        <w:tc>
          <w:tcPr>
            <w:tcW w:type="dxa" w:w="1008"/>
            <w:tcMar>
              <w:top w:w="20" w:type="dxa"/>
              <w:bottom w:w="20" w:type="dxa"/>
              <w:left w:w="50" w:type="dxa"/>
              <w:right w:w="50" w:type="dxa"/>
            </w:tcMar>
          </w:tcPr>
          <w:p>
            <w:pPr>
              <w:spacing w:before="10" w:after="10" w:line="252" w:lineRule="auto"/>
              <w:jc w:val="center"/>
            </w:pPr>
            <w:r>
              <w:rPr>
                <w:rFonts w:ascii="Times New Roman" w:hAnsi="Times New Roman"/>
                <w:color w:val="000000"/>
                <w:sz w:val="19"/>
              </w:rPr>
              <w:t>48</w:t>
            </w:r>
          </w:p>
        </w:tc>
      </w:tr>
    </w:tbl>
    <w:p>
      <w:pPr>
        <w:spacing w:before="0" w:after="80"/>
      </w:pPr>
    </w:p>
    <w:p>
      <w:r>
        <w:br w:type="page"/>
      </w:r>
    </w:p>
    <w:p>
      <w:pPr>
        <w:keepNext/>
        <w:spacing w:before="320" w:after="280"/>
        <w:jc w:val="center"/>
      </w:pPr>
      <w:r>
        <w:rPr>
          <w:rFonts w:ascii="Times New Roman" w:hAnsi="Times New Roman"/>
          <w:b/>
          <w:color w:val="000000"/>
          <w:sz w:val="30"/>
        </w:rPr>
        <w:t>ABBREVIATIONS AND NOMENCLATURE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60"/>
        <w:gridCol w:w="2160"/>
        <w:gridCol w:w="2160"/>
        <w:gridCol w:w="2160"/>
      </w:tblGrid>
      <w:tr>
        <w:trPr>
          <w:cantSplit/>
          <w:tblHeader/>
        </w:trPr>
        <w:tc>
          <w:tcPr>
            <w:tcW w:type="dxa" w:w="1152"/>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Abbr.</w:t>
            </w:r>
          </w:p>
        </w:tc>
        <w:tc>
          <w:tcPr>
            <w:tcW w:type="dxa" w:w="316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Full Meaning / Definition</w:t>
            </w:r>
          </w:p>
        </w:tc>
        <w:tc>
          <w:tcPr>
            <w:tcW w:type="dxa" w:w="1152"/>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Abbr.</w:t>
            </w:r>
          </w:p>
        </w:tc>
        <w:tc>
          <w:tcPr>
            <w:tcW w:type="dxa" w:w="3168"/>
            <w:shd w:fill="F4F6F9"/>
            <w:tcMar>
              <w:top w:w="40" w:type="dxa"/>
              <w:bottom w:w="40" w:type="dxa"/>
              <w:left w:w="50" w:type="dxa"/>
              <w:right w:w="50" w:type="dxa"/>
            </w:tcMar>
          </w:tcPr>
          <w:p>
            <w:pPr>
              <w:spacing w:before="20" w:after="20" w:line="252" w:lineRule="auto"/>
              <w:jc w:val="center"/>
            </w:pPr>
            <w:r>
              <w:rPr>
                <w:rFonts w:ascii="Times New Roman" w:hAnsi="Times New Roman"/>
                <w:b/>
                <w:color w:val="000000"/>
                <w:sz w:val="20"/>
              </w:rPr>
              <w:t>Full Meaning / Definition</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AAMI</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Assoc. Advancement Medical Instrumentation</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LOSO</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Leave-One-Subject-Out Cross-Validation</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ACC</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Accelerometer Sensor</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LSTM</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Long Short-Term Memory Network</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BHS</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British Hypertension Society</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MAE</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Mean Absolute Error</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BiGRU</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Bidirectional Gated Recurrent Unit</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MAP</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Mean Arterial Pressure (mmHg)</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BP</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Blood Pressure (Arterial Pressure in mmHg)</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MCD</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Multi-Camera Dataset for rPPG</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BVP</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Blood Volume Pulse</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MCP</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Model Context Protocol</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CHROM</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Chrominance-based rPPG Method</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MHSA</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Multi-Head Self-Attention</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CNN</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Convolutional Neural Network</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MLP</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Multi-Layer Perceptron</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cPPG</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Contact Photoplethysmography</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NLP</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Natural Language Processing</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CVD</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Cardiovascular Disease</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POS</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Plane-Orthogonal-to-Skin Algorithm</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DBP</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Diastolic Blood Pressure (mmHg)</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PWA</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Pulse Wave Analysis</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DNN</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Deep Neural Network</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PWV</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Pulse Wave Velocity</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EDA</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Electrodermal Activity</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RAG</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Retrieval-Augmented Generation</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HR</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Heart Rate (Beats Per Minute, BPM)</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RMSE</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Root Mean Square Error</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HRV</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Heart Rate Variability</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ROI</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Region of Interest</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IBI</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Inter-Beat Interval (ms)</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rPPG</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Remote Photoplethysmography</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ICA</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Independent Component Analysis</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SBP</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Systolic Blood Pressure (mmHg)</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LLM</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Large Language Model</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SGD</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Stochastic Gradient Descent</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SNR</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Signal-to-Noise Ratio (dB)</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SVR</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Support Vector Regression</w:t>
            </w:r>
          </w:p>
        </w:tc>
      </w:tr>
      <w:tr>
        <w:trPr>
          <w:cantSplit/>
        </w:trPr>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TFLite</w:t>
            </w:r>
          </w:p>
        </w:tc>
        <w:tc>
          <w:tcPr>
            <w:tcW w:type="dxa" w:w="3168"/>
            <w:tcMar>
              <w:top w:w="20" w:type="dxa"/>
              <w:bottom w:w="20" w:type="dxa"/>
              <w:left w:w="50" w:type="dxa"/>
              <w:right w:w="50" w:type="dxa"/>
            </w:tcMar>
          </w:tcPr>
          <w:p>
            <w:pPr>
              <w:spacing w:before="10" w:after="10" w:line="252" w:lineRule="auto"/>
              <w:jc w:val="left"/>
            </w:pPr>
            <w:r>
              <w:rPr>
                <w:rFonts w:ascii="Times New Roman" w:hAnsi="Times New Roman"/>
                <w:color w:val="000000"/>
                <w:sz w:val="19"/>
              </w:rPr>
              <w:t>TensorFlow Lite Edge Runtime</w:t>
            </w:r>
          </w:p>
        </w:tc>
        <w:tc>
          <w:tcPr>
            <w:tcW w:type="dxa" w:w="1152"/>
            <w:tcMar>
              <w:top w:w="20" w:type="dxa"/>
              <w:bottom w:w="20" w:type="dxa"/>
              <w:left w:w="50" w:type="dxa"/>
              <w:right w:w="50" w:type="dxa"/>
            </w:tcMar>
          </w:tcPr>
          <w:p>
            <w:pPr>
              <w:spacing w:before="10" w:after="10" w:line="252" w:lineRule="auto"/>
              <w:jc w:val="center"/>
            </w:pPr>
            <w:r>
              <w:rPr>
                <w:rFonts w:ascii="Times New Roman" w:hAnsi="Times New Roman"/>
                <w:color w:val="000000"/>
                <w:sz w:val="19"/>
              </w:rPr>
              <w:t>TS-CAN</w:t>
            </w:r>
          </w:p>
        </w:tc>
        <w:tc>
          <w:tcPr>
            <w:tcW w:type="dxa" w:w="3168"/>
            <w:tcMar>
              <w:top w:w="20" w:type="dxa"/>
              <w:bottom w:w="20" w:type="dxa"/>
              <w:left w:w="50" w:type="dxa"/>
              <w:right w:w="50" w:type="dxa"/>
            </w:tcMar>
          </w:tcPr>
          <w:p>
            <w:pPr>
              <w:spacing w:before="10" w:after="10" w:line="252" w:lineRule="auto"/>
              <w:jc w:val="center"/>
            </w:pPr>
            <w:r>
              <w:rPr>
                <w:rFonts w:ascii="Times New Roman" w:hAnsi="Times New Roman"/>
                <w:color w:val="000000"/>
                <w:sz w:val="19"/>
              </w:rPr>
              <w:t>Temporal Shift Attention Network</w:t>
            </w:r>
          </w:p>
        </w:tc>
      </w:tr>
    </w:tbl>
    <w:p>
      <w:pPr>
        <w:spacing w:before="0" w:after="80"/>
      </w:pPr>
    </w:p>
    <w:p>
      <w:pPr>
        <w:sectPr>
          <w:headerReference w:type="default" r:id="rId10"/>
          <w:footerReference w:type="default" r:id="rId11"/>
          <w:pgSz w:w="12240" w:h="15840"/>
          <w:pgMar w:top="1267" w:right="1440" w:bottom="1440" w:left="2160" w:header="720" w:footer="720" w:gutter="0"/>
          <w:cols w:space="720"/>
          <w:docGrid w:linePitch="360"/>
          <w:pgNumType w:start="1" w:fmt="romanLower"/>
        </w:sectPr>
      </w:pPr>
    </w:p>
    <w:p>
      <w:pPr>
        <w:keepNext/>
        <w:spacing w:before="320" w:after="60"/>
        <w:jc w:val="center"/>
      </w:pPr>
      <w:r>
        <w:rPr>
          <w:rFonts w:ascii="Times New Roman" w:hAnsi="Times New Roman"/>
          <w:b/>
          <w:color w:val="000000"/>
          <w:sz w:val="30"/>
        </w:rPr>
        <w:t>CHAPTER-01</w:t>
      </w:r>
    </w:p>
    <w:p>
      <w:pPr>
        <w:keepNext/>
        <w:spacing w:before="60" w:after="280"/>
        <w:jc w:val="center"/>
      </w:pPr>
      <w:r>
        <w:rPr>
          <w:rFonts w:ascii="Times New Roman" w:hAnsi="Times New Roman"/>
          <w:b/>
          <w:color w:val="000000"/>
          <w:sz w:val="30"/>
        </w:rPr>
        <w:t>INTRODUCTION</w:t>
      </w:r>
    </w:p>
    <w:p>
      <w:pPr>
        <w:keepNext/>
        <w:spacing w:before="240" w:after="80"/>
        <w:jc w:val="left"/>
      </w:pPr>
      <w:r>
        <w:rPr>
          <w:rFonts w:ascii="Times New Roman" w:hAnsi="Times New Roman"/>
          <w:b/>
          <w:color w:val="000000"/>
          <w:sz w:val="26"/>
        </w:rPr>
        <w:t>1.1 Background and Clinical Context</w:t>
      </w:r>
    </w:p>
    <w:p>
      <w:pPr>
        <w:spacing w:before="0" w:after="100" w:line="348" w:lineRule="auto"/>
        <w:jc w:val="both"/>
      </w:pPr>
      <w:r>
        <w:rPr>
          <w:rFonts w:ascii="Times New Roman" w:hAnsi="Times New Roman"/>
          <w:color w:val="000000"/>
          <w:sz w:val="24"/>
        </w:rPr>
        <w:t>Cardiovascular diseases (CVDs) remain the leading cause of global morbidity and mortality, claiming an estimated 17.9 million lives each year according to the World Health Organization (WHO). Hypertension—clinically defined as persistent systemic arterial blood pressure exceeding 130/80 mmHg—is the single most prevalent and modifiable risk factor for myocardial infarction, ischemic stroke, heart failure, chronic kidney disease, and cognitive decline. Globally, over 1.28 billion adults aged 30–79 are affected by hypertension, with approximately 46% unaware of their condition due to its largely asymptomatic nature during early stages. Consequently, frequent and continuous arterial blood pressure monitoring represents an indispensable clinical necessity for proactive diagnosis, therapeutic titration, and cardiovascular risk stratification.</w:t>
      </w:r>
    </w:p>
    <w:p>
      <w:pPr>
        <w:spacing w:before="0" w:after="100" w:line="348" w:lineRule="auto"/>
        <w:jc w:val="both"/>
      </w:pPr>
      <w:r>
        <w:rPr>
          <w:rFonts w:ascii="Times New Roman" w:hAnsi="Times New Roman"/>
          <w:color w:val="000000"/>
          <w:sz w:val="24"/>
        </w:rPr>
        <w:t>For over a century, the standard of care for non-invasive arterial pressure measurement has relied on the pneumatic occlusive cuff, implemented via manual auscultatory sphygmomanometry or automated oscillometric cuffs. While clinically validated and widely standardized, cuff-based devices possess fundamental structural limitations that severely constrain their utility in modern preventive medicine:</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Intermittent and Reactive Sampling: Cuff inflations take 30 to 60 seconds, providing only isolated, snapshot measurements that fail to capture rapid autonomic fluctuations, acute hypertensive spikes, or beat-to-beat hemodynamic dynamics.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Physical Disruption and Sleep Fragmentation: The repetitive mechanical inflation and deflation of an occlusive arm cuff causes cutaneous discomfort, localized vascular compression, and sleep disruption during ambulatory 24-hour monitoring, leading to poor patient compliance.</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White-Coat and Masked Hypertension: The psychogenic stress of clinical cuff application frequently induces transient sympathetic arousal ('white-coat effect'), yielding artificially elevated readings, or conversely obscures nocturnal hypertension.</w:t>
      </w:r>
    </w:p>
    <w:p>
      <w:pPr>
        <w:spacing w:before="0" w:after="100" w:line="348" w:lineRule="auto"/>
        <w:jc w:val="both"/>
      </w:pPr>
      <w:r>
        <w:rPr>
          <w:rFonts w:ascii="Times New Roman" w:hAnsi="Times New Roman"/>
          <w:color w:val="000000"/>
          <w:sz w:val="24"/>
        </w:rPr>
        <w:t>In response to these challenges, biomedical research has increasingly focused on cuffless optical modalities, predominantly contact photoplethysmography (cPPG). Embedded in consumer smartwatches and clinical pulse oximeters, cPPG illuminates tissue with light-emitting diodes (LEDs) and detects transmitted or backscattered light modulated by blood volume changes within the microvascular bed. However, contact wearables introduce significant operational friction: they require continuous skin contact, cause cutaneous irritation, suffer from motion-induced sensor detachment, and require frequent battery recharging.</w:t>
      </w:r>
    </w:p>
    <w:p>
      <w:pPr>
        <w:spacing w:before="0" w:after="100" w:line="348" w:lineRule="auto"/>
        <w:jc w:val="both"/>
      </w:pPr>
      <w:r>
        <w:rPr>
          <w:rFonts w:ascii="Times New Roman" w:hAnsi="Times New Roman"/>
          <w:color w:val="000000"/>
          <w:sz w:val="24"/>
        </w:rPr>
        <w:t>Remote Photoplethysmography (rPPG) has emerged as a transformative paradigm that eliminates physical contact entirely. By capturing ambient or dedicated light reflections from exposed facial skin using standard RGB video cameras, rPPG extracts subtle, invisible cardiac-synchronous color variations governed by dermal capillary pulsation. When combined with modern deep learning and computer vision architectures, facial rPPG offers the revolutionary capability to perform continuous, passive, and ubiquitous blood pressure monitoring across clinical telehealth kiosks, smart home environments, automotive driver monitoring systems, and mobile smartphones.</w:t>
      </w:r>
    </w:p>
    <w:p>
      <w:pPr>
        <w:keepNext/>
        <w:spacing w:before="240" w:after="80"/>
        <w:jc w:val="left"/>
      </w:pPr>
      <w:r>
        <w:rPr>
          <w:rFonts w:ascii="Times New Roman" w:hAnsi="Times New Roman"/>
          <w:b/>
          <w:color w:val="000000"/>
          <w:sz w:val="26"/>
        </w:rPr>
        <w:t>1.2 Problem Statement</w:t>
      </w:r>
    </w:p>
    <w:p>
      <w:pPr>
        <w:spacing w:before="0" w:after="100" w:line="348" w:lineRule="auto"/>
        <w:jc w:val="both"/>
      </w:pPr>
      <w:r>
        <w:rPr>
          <w:rFonts w:ascii="Times New Roman" w:hAnsi="Times New Roman"/>
          <w:color w:val="000000"/>
          <w:sz w:val="24"/>
        </w:rPr>
        <w:t>Despite the profound clinical potential of camera-based rPPG, translating facial video streams into accurate, medical-grade arterial blood pressure measurements constitutes an exceptionally challenging inverse problem characterized by severe physical, optical, and algorithmic bottlenecks: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Optical Quantization and Low Signal-to-Noise Ratio (SNR): The pulsatile blood volume component (AC signal) accounts for merely 0.1% to 2.0% of total facial reflectance, with the remainder consisting of static tissue and specular reflection (DC component). In consumer 8-bit RGB camera sensors (256 discrete intensity levels per channel), the quantization step size is approximately 0.39%, meaning that subtle physiological micro-pulsations operate directly at or below the sensor noise floor.</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Environmental Illumination Jitter and Motion Artifacts: Ambient lighting fluctuations, indoor fluorescent flicker, and involuntary head micro-movements inject non-stationary noise that heavily overlaps with the cardiac fundamental frequency band (0.7–3.5 Hz). Furthermore, sudden camera Auto-Exposure (AE) adjustments inject catastrophic temporal discontinuities into the waveform.</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The Capillary Windkessel Damping Barrier: Arterial blood pressure waveforms exhibit distinct morphological landmarks—most notably the sharp systolic upstroke, anacrotic notch, and dicrotic notch resulting from aortic valve closure and arterial elasticity. However, as the pulse wave propagates through the arterial tree into facial capillary microvasculature, the high-frequency viscoelastic damping of the vascular wall severely attenuates the dicrotic notch by 1 to 2 orders of magnitude.</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Algorithmic Regression-to-the-Mean ('Template Collapse'): Conventional deep neural networks trained on homogeneous public datasets consistently suffer from regression-to-the-mean. When confronted with noisy or attenuated rPPG inputs, monolithic models learn to minimize mean squared error by predicting population-average normotensive values (~120/80 mmHg), yielding misleadingly low Mean Absolute Error (MAE) while exhibiting near-zero or negative Pearson correlation coefficients (r) across real hypertensive and hypotensive subjects.</w:t>
      </w:r>
    </w:p>
    <w:p>
      <w:pPr>
        <w:keepNext/>
        <w:spacing w:before="240" w:after="80"/>
        <w:jc w:val="left"/>
      </w:pPr>
      <w:r>
        <w:rPr>
          <w:rFonts w:ascii="Times New Roman" w:hAnsi="Times New Roman"/>
          <w:b/>
          <w:color w:val="000000"/>
          <w:sz w:val="26"/>
        </w:rPr>
        <w:t>1.3 Motivation</w:t>
      </w:r>
    </w:p>
    <w:p>
      <w:pPr>
        <w:spacing w:before="0" w:after="100" w:line="348" w:lineRule="auto"/>
        <w:jc w:val="both"/>
      </w:pPr>
      <w:r>
        <w:rPr>
          <w:rFonts w:ascii="Times New Roman" w:hAnsi="Times New Roman"/>
          <w:color w:val="000000"/>
          <w:sz w:val="24"/>
        </w:rPr>
        <w:t>The overarching motivation of this research is to construct an intelligent, end-to-end computational framework capable of bridging the domain gap between noisy facial video recordings and clinical-grade arterial pressure estimation. By formulating a rigorous, multi-stage pipeline—uniting hardware-level sensor controls, robust facial landmarking, physics-informed chrominance projection, morphology-preserving Savitzky-Golay filtering, and decoupled deep sequential neural networks—we aim to prove that contactless rPPG can achieve clinical compliance under international validation standards (ISO/AAMI SP10).</w:t>
      </w:r>
    </w:p>
    <w:p>
      <w:pPr>
        <w:spacing w:before="0" w:after="100" w:line="348" w:lineRule="auto"/>
        <w:jc w:val="both"/>
      </w:pPr>
      <w:r>
        <w:rPr>
          <w:rFonts w:ascii="Times New Roman" w:hAnsi="Times New Roman"/>
          <w:color w:val="000000"/>
          <w:sz w:val="24"/>
        </w:rPr>
        <w:t>Creating a reliable, non-contact blood pressure estimation engine holds immense societal and healthcare implications. It empowers proactive cardiovascular management for elderly populations, reduces nurse workload in intensive care units (ICUs), provides non-intrusive neonatal and pediatric vital sign tracking, and democratizes preventative health diagnostics across resource-constrained regions via ordinary smartphones.</w:t>
      </w:r>
    </w:p>
    <w:p>
      <w:pPr>
        <w:keepNext/>
        <w:spacing w:before="240" w:after="80"/>
        <w:jc w:val="left"/>
      </w:pPr>
      <w:r>
        <w:rPr>
          <w:rFonts w:ascii="Times New Roman" w:hAnsi="Times New Roman"/>
          <w:b/>
          <w:color w:val="000000"/>
          <w:sz w:val="26"/>
        </w:rPr>
        <w:t>1.4 Objectives of the Project</w:t>
      </w:r>
    </w:p>
    <w:p>
      <w:pPr>
        <w:spacing w:before="0" w:after="100" w:line="348" w:lineRule="auto"/>
        <w:jc w:val="both"/>
      </w:pPr>
      <w:r>
        <w:rPr>
          <w:rFonts w:ascii="Times New Roman" w:hAnsi="Times New Roman"/>
          <w:color w:val="000000"/>
          <w:sz w:val="24"/>
        </w:rPr>
        <w:t>To address the defined research problems, this project sets forth the following specific, concrete, and verifiable engineering objectives: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To implement a hardware-synchronized facial video acquisition pipeline utilizing the Android Camera2 API with locked auto-exposure, fixed white balance, and 30 FPS timestamp logging.</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To construct a real-time facial mesh tracking engine using the 468-point MediaPipe framework, dynamically isolating bilateral malar (cheek) and upper forehead microvascular regions of interest (ROIs).</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To extract robust Blood Volume Pulse (BVP) signals from raw RGB time series using the physics-based Plane-Orthogonal-to-Skin (POS) chrominance projection algorithm.</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To develop a multi-stage signal conditioning engine integrating bandpass filtering (0.7–3.5 Hz) and an adaptive Savitzky-Golay polynomial smoothing filter to preserve high-order waveform derivatives.</w:t>
      </w:r>
    </w:p>
    <w:p>
      <w:pPr>
        <w:pStyle w:val="ListBullet"/>
        <w:spacing w:before="0" w:after="60" w:line="348" w:lineRule="auto"/>
        <w:ind w:left="317"/>
        <w:jc w:val="both"/>
      </w:pPr>
      <w:r>
        <w:rPr>
          <w:rFonts w:ascii="Times New Roman" w:hAnsi="Times New Roman"/>
          <w:b/>
          <w:color w:val="000000"/>
          <w:sz w:val="24"/>
        </w:rPr>
        <w:t xml:space="preserve">5. </w:t>
      </w:r>
      <w:r>
        <w:rPr>
          <w:rFonts w:ascii="Times New Roman" w:hAnsi="Times New Roman"/>
          <w:color w:val="000000"/>
          <w:sz w:val="24"/>
        </w:rPr>
        <w:t>To engineer a comprehensive feature vector capturing temporal, morphological, spectral, and Heart Rate Variability (HRV) parameters from reconstructed pulse waves.</w:t>
      </w:r>
    </w:p>
    <w:p>
      <w:pPr>
        <w:pStyle w:val="ListBullet"/>
        <w:spacing w:before="0" w:after="60" w:line="348" w:lineRule="auto"/>
        <w:ind w:left="317"/>
        <w:jc w:val="both"/>
      </w:pPr>
      <w:r>
        <w:rPr>
          <w:rFonts w:ascii="Times New Roman" w:hAnsi="Times New Roman"/>
          <w:b/>
          <w:color w:val="000000"/>
          <w:sz w:val="24"/>
        </w:rPr>
        <w:t xml:space="preserve">6. </w:t>
      </w:r>
      <w:r>
        <w:rPr>
          <w:rFonts w:ascii="Times New Roman" w:hAnsi="Times New Roman"/>
          <w:color w:val="000000"/>
          <w:sz w:val="24"/>
        </w:rPr>
        <w:t>To design and train a novel deep sequential neural architecture—MODEL-06-SepHead—incorporating a multi-scale 1D-ResNet backbone, Bidirectional Gated Recurrent Units (BiGRU), Multi-Head Self-Attention (MHSA), and decoupled regression heads for independent SBP and DBP estimation.</w:t>
      </w:r>
    </w:p>
    <w:p>
      <w:pPr>
        <w:pStyle w:val="ListBullet"/>
        <w:spacing w:before="0" w:after="60" w:line="348" w:lineRule="auto"/>
        <w:ind w:left="317"/>
        <w:jc w:val="both"/>
      </w:pPr>
      <w:r>
        <w:rPr>
          <w:rFonts w:ascii="Times New Roman" w:hAnsi="Times New Roman"/>
          <w:b/>
          <w:color w:val="000000"/>
          <w:sz w:val="24"/>
        </w:rPr>
        <w:t xml:space="preserve">7. </w:t>
      </w:r>
      <w:r>
        <w:rPr>
          <w:rFonts w:ascii="Times New Roman" w:hAnsi="Times New Roman"/>
          <w:color w:val="000000"/>
          <w:sz w:val="24"/>
        </w:rPr>
        <w:t>To execute a leak-free, 100% subject-independent evaluation on the Multi-Camera Dataset (MCD) comprising 17,943 windows across 599 subjects.</w:t>
      </w:r>
    </w:p>
    <w:p>
      <w:pPr>
        <w:pStyle w:val="ListBullet"/>
        <w:spacing w:before="0" w:after="60" w:line="348" w:lineRule="auto"/>
        <w:ind w:left="317"/>
        <w:jc w:val="both"/>
      </w:pPr>
      <w:r>
        <w:rPr>
          <w:rFonts w:ascii="Times New Roman" w:hAnsi="Times New Roman"/>
          <w:b/>
          <w:color w:val="000000"/>
          <w:sz w:val="24"/>
        </w:rPr>
        <w:t xml:space="preserve">8. </w:t>
      </w:r>
      <w:r>
        <w:rPr>
          <w:rFonts w:ascii="Times New Roman" w:hAnsi="Times New Roman"/>
          <w:color w:val="000000"/>
          <w:sz w:val="24"/>
        </w:rPr>
        <w:t>To evaluate clinical agreement and accuracy against the international ISO/AAMI SP10 standard and British Hypertension Society (BHS) grading criteria.</w:t>
      </w:r>
    </w:p>
    <w:p>
      <w:pPr>
        <w:pStyle w:val="ListBullet"/>
        <w:spacing w:before="0" w:after="60" w:line="348" w:lineRule="auto"/>
        <w:ind w:left="317"/>
        <w:jc w:val="both"/>
      </w:pPr>
      <w:r>
        <w:rPr>
          <w:rFonts w:ascii="Times New Roman" w:hAnsi="Times New Roman"/>
          <w:b/>
          <w:color w:val="000000"/>
          <w:sz w:val="24"/>
        </w:rPr>
        <w:t xml:space="preserve">9. </w:t>
      </w:r>
      <w:r>
        <w:rPr>
          <w:rFonts w:ascii="Times New Roman" w:hAnsi="Times New Roman"/>
          <w:color w:val="000000"/>
          <w:sz w:val="24"/>
        </w:rPr>
        <w:t>To optimize and deploy the end-to-end pipeline onto mobile Android hardware via TensorFlow Lite (TFLite) int8 quantization for real-time edge execution.</w:t>
      </w:r>
    </w:p>
    <w:p>
      <w:pPr>
        <w:keepNext/>
        <w:spacing w:before="240" w:after="80"/>
        <w:jc w:val="left"/>
      </w:pPr>
      <w:r>
        <w:rPr>
          <w:rFonts w:ascii="Times New Roman" w:hAnsi="Times New Roman"/>
          <w:b/>
          <w:color w:val="000000"/>
          <w:sz w:val="26"/>
        </w:rPr>
        <w:t>1.5 Scope of the Project</w:t>
      </w:r>
    </w:p>
    <w:p>
      <w:pPr>
        <w:spacing w:before="0" w:after="100" w:line="348" w:lineRule="auto"/>
        <w:jc w:val="both"/>
      </w:pPr>
      <w:r>
        <w:rPr>
          <w:rFonts w:ascii="Times New Roman" w:hAnsi="Times New Roman"/>
          <w:color w:val="000000"/>
          <w:sz w:val="24"/>
        </w:rPr>
        <w:t>To maintain scientific rigor and clear architectural boundaries, the scope of this project is precisely delineated in terms of explicit technical inclusions and defined exclusions:</w:t>
      </w:r>
    </w:p>
    <w:p>
      <w:pPr>
        <w:keepNext/>
        <w:spacing w:before="180" w:after="60"/>
        <w:jc w:val="left"/>
      </w:pPr>
      <w:r>
        <w:rPr>
          <w:rFonts w:ascii="Times New Roman" w:hAnsi="Times New Roman"/>
          <w:b/>
          <w:color w:val="000000"/>
          <w:sz w:val="24"/>
        </w:rPr>
        <w:t>1.5.1 In-Scope Technical Inclusions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Optical Video Modality: Acquisition and processing of single-camera visible-spectrum (RGB) facial video recordings at standard consumer frame rates (30 FPS) under stable ambient illumination (≥ 150 lux).</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Facial Landmarking &amp; Dermal Capillary Tracking: Dynamic tracking of the upper forehead and bilateral malar microvascular regions of interest using 468-point 3D MediaPipe mesh topology.</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Physics-Based Signal Conditioning: Plane-Orthogonal-to-Skin (POS) chrominance projection, Butterworth bandpass filtering (0.7–3.5 Hz), and adaptive Savitzky-Golay polynomial smoothing.</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Deep Learning Architecture: Development, training, and benchmarking of the MODEL-06-SepHead neural network featuring multi-scale 1D-ResNets, BiGRU sequence modeling, multi-head self-attention, and decoupled SBP/DBP heads.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Clinical Benchmark Evaluation: Offline subject-independent validation on 17,943 10-second windows across 599 participants from the clinical Multi-Camera Dataset (MCD) with 100% clean subject isolation.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Mobile Edge Deployment: Compilation and deployment of an 8-bit quantized TensorFlow Lite (TFLite) inference model onto native Android (Snapdragon 4 Gen 2) smartphone hardware.</w:t>
      </w:r>
    </w:p>
    <w:p>
      <w:pPr>
        <w:keepNext/>
        <w:spacing w:before="180" w:after="60"/>
        <w:jc w:val="left"/>
      </w:pPr>
      <w:r>
        <w:rPr>
          <w:rFonts w:ascii="Times New Roman" w:hAnsi="Times New Roman"/>
          <w:b/>
          <w:color w:val="000000"/>
          <w:sz w:val="24"/>
        </w:rPr>
        <w:t>1.5.2 Explicit Exclusions &amp; Out-of-Scope Boundaries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Invasive Arterial Catheterization: The project strictly focuses on non-contact optical estimation and does not involve direct invasive arterial line placement or continuous arterial transducer cannulation.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Multi-Lead Clinical ICU Bedside Hardware: The scope does not include hardware integration with intensive care bedside patient monitors, multi-lead clinical ECG telemetry arrays, or hospital central station protocols.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Dual-Sensor Transit-Time Modalities (PTT/PAT): The system is designed as a standalone single-camera solution and explicitly excludes multi-site sensor synchronization requiring contact finger probes, ECG electrodes, or seismocardiography.</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Thermal &amp; Multi-Spectral Sensor Hardware: The current implementation operates exclusively on visible RGB image sensors and excludes hardware ingestion from Long-Wave Infrared (LWIR) thermal cameras, short-wave infrared (SWIR), or hyperspectral imaging arrays.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Arrhythmia &amp; Structural Pathology Diagnosis: The algorithmic pipeline is calibrated for hemodynamic blood pressure estimation and does not provide automated diagnostic classification for complex cardiac arrhythmias (e.g., atrial fibrillation, ventricular tachycardia) or structural valvular regurgitation.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Extreme Dynamic Motion &amp; Neonatal Incubator Monitoring: The pipeline requires a relatively stationary subject (seated position with natural micro-movements) and does not cover high-velocity athletic sports telemetry or specialized neonatal incubator monitoring environments.</w:t>
      </w:r>
    </w:p>
    <w:p>
      <w:pPr>
        <w:keepNext/>
        <w:spacing w:before="240" w:after="80"/>
        <w:jc w:val="left"/>
      </w:pPr>
      <w:r>
        <w:rPr>
          <w:rFonts w:ascii="Times New Roman" w:hAnsi="Times New Roman"/>
          <w:b/>
          <w:color w:val="000000"/>
          <w:sz w:val="26"/>
        </w:rPr>
        <w:t>1.6 Project Contributions</w:t>
      </w:r>
    </w:p>
    <w:p>
      <w:pPr>
        <w:spacing w:before="0" w:after="100" w:line="348" w:lineRule="auto"/>
        <w:jc w:val="both"/>
      </w:pPr>
      <w:r>
        <w:rPr>
          <w:rFonts w:ascii="Times New Roman" w:hAnsi="Times New Roman"/>
          <w:color w:val="000000"/>
          <w:sz w:val="24"/>
        </w:rPr>
        <w:t>The primary scientific and technical contributions of this project, embodied in the LuminaBP system, include:</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An End-to-End Contactless Hemodynamic Pipeline: A complete computational pipeline translating raw facial video frames into calibrated arterial pressure estimates.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Savitzky-Golay Morphological Preservation: Demonstration that local least-squares polynomial filtering suppresses 8-bit quantization noise while retaining vital cardiovascular morphology.</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Decoupled Architecture Innovation (MODEL-06-SepHead): Development of separate regression heads that eliminate physiological gradient interference between SBP and DBP.</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Clinical ISO/AAMI Compliance for DBP: Achievement of a Diastolic BP MAE of 5.91 mmHg across 90 unseen test subjects, satisfying the ISO/AAMI &lt;= 8.0 mmHg standard.</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Strict Zero-Leakage Validation: Rigorous 100% subject-level partitioning guaranteeing zero identity overlap across training, validation, and testing folds.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Edge-Native Mobile Deployment: Full deployment of the pipeline onto Android smartphones with sub-50ms inference latency.</w:t>
      </w:r>
    </w:p>
    <w:p>
      <w:pPr>
        <w:keepNext/>
        <w:spacing w:before="240" w:after="80"/>
        <w:jc w:val="left"/>
      </w:pPr>
      <w:r>
        <w:rPr>
          <w:rFonts w:ascii="Times New Roman" w:hAnsi="Times New Roman"/>
          <w:b/>
          <w:color w:val="000000"/>
          <w:sz w:val="26"/>
        </w:rPr>
        <w:t>1.7 Organization of the Report</w:t>
      </w:r>
    </w:p>
    <w:p>
      <w:pPr>
        <w:spacing w:before="0" w:after="100" w:line="348" w:lineRule="auto"/>
        <w:jc w:val="both"/>
      </w:pPr>
      <w:r>
        <w:rPr>
          <w:rFonts w:ascii="Times New Roman" w:hAnsi="Times New Roman"/>
          <w:color w:val="000000"/>
          <w:sz w:val="24"/>
        </w:rPr>
        <w:t>The remainder of this report is structured as follows: Chapter 2 details the vocational training curriculum, foundational computing libraries, machine learning principles, deep learning architectures, and advanced AI frontiers. Chapter 3 provides a comprehensive literature review of optical hemodynamics and cuffless blood pressure estimation. Chapter 4 presents the proposed LuminaBP methodology and system architecture. Chapter 5 details the software, hardware, dataset curation, and mobile implementation. Chapter 6 presents the experimental results, clinical validation, ablation studies, and physiological discussion. Chapter 7 concludes the report and highlights future research directions. Appendix A provides technical specifications of the core engineering pipeline and baseline checkpoints.</w:t>
      </w:r>
    </w:p>
    <w:p>
      <w:r>
        <w:br w:type="page"/>
      </w:r>
    </w:p>
    <w:p>
      <w:pPr>
        <w:keepNext/>
        <w:spacing w:before="320" w:after="60"/>
        <w:jc w:val="center"/>
      </w:pPr>
      <w:r>
        <w:rPr>
          <w:rFonts w:ascii="Times New Roman" w:hAnsi="Times New Roman"/>
          <w:b/>
          <w:color w:val="000000"/>
          <w:sz w:val="30"/>
        </w:rPr>
        <w:t>CHAPTER-02</w:t>
      </w:r>
    </w:p>
    <w:p>
      <w:pPr>
        <w:keepNext/>
        <w:spacing w:before="60" w:after="280"/>
        <w:jc w:val="center"/>
      </w:pPr>
      <w:r>
        <w:rPr>
          <w:rFonts w:ascii="Times New Roman" w:hAnsi="Times New Roman"/>
          <w:b/>
          <w:color w:val="000000"/>
          <w:sz w:val="30"/>
        </w:rPr>
        <w:t>VOCATIONAL TRAINING CURRICULUM &amp; THEORETICAL FOUNDATIONS</w:t>
      </w:r>
    </w:p>
    <w:p>
      <w:pPr>
        <w:spacing w:before="0" w:after="100" w:line="348" w:lineRule="auto"/>
        <w:jc w:val="both"/>
      </w:pPr>
      <w:r>
        <w:rPr>
          <w:rFonts w:ascii="Times New Roman" w:hAnsi="Times New Roman"/>
          <w:color w:val="000000"/>
          <w:sz w:val="24"/>
        </w:rPr>
        <w:t>During the intensive Vocational Training on 'AI with Python' conducted under the supervision of Dr. Anurag Singh at IIIT Naya Raipur, a comprehensive theoretical and practical curriculum was completed. This chapter provides a rigorous academic, mathematical, and algorithmic synthesis of the computational principles, statistical machine learning models, deep neural network architectures, and modern agentic artificial intelligence frameworks mastered during the training period.</w:t>
      </w:r>
    </w:p>
    <w:p>
      <w:pPr>
        <w:keepNext/>
        <w:spacing w:before="240" w:after="80"/>
        <w:jc w:val="left"/>
      </w:pPr>
      <w:r>
        <w:rPr>
          <w:rFonts w:ascii="Times New Roman" w:hAnsi="Times New Roman"/>
          <w:b/>
          <w:color w:val="000000"/>
          <w:sz w:val="26"/>
        </w:rPr>
        <w:t>2.1 Scientific Computing Foundations in Python</w:t>
      </w:r>
    </w:p>
    <w:p>
      <w:pPr>
        <w:spacing w:before="0" w:after="100" w:line="348" w:lineRule="auto"/>
        <w:jc w:val="both"/>
      </w:pPr>
      <w:r>
        <w:rPr>
          <w:rFonts w:ascii="Times New Roman" w:hAnsi="Times New Roman"/>
          <w:color w:val="000000"/>
          <w:sz w:val="24"/>
        </w:rPr>
        <w:t>Python has established itself as the lingua franca of modern scientific computing and artificial intelligence owing to its elegant syntax, dynamic typing model, and mature ecosystem of high-performance C-accelerated numerical libraries. Biomedical signal processing and computer vision pipelines demand high-throughput data structures capable of executing multi-dimensional tensor operations with minimal computational overhead.</w:t>
      </w:r>
    </w:p>
    <w:p>
      <w:pPr>
        <w:keepNext/>
        <w:spacing w:before="180" w:after="60"/>
        <w:jc w:val="left"/>
      </w:pPr>
      <w:r>
        <w:rPr>
          <w:rFonts w:ascii="Times New Roman" w:hAnsi="Times New Roman"/>
          <w:b/>
          <w:color w:val="000000"/>
          <w:sz w:val="24"/>
        </w:rPr>
        <w:t>2.1.1 The NumPy Numerical Architecture</w:t>
      </w:r>
    </w:p>
    <w:p>
      <w:pPr>
        <w:spacing w:before="0" w:after="100" w:line="348" w:lineRule="auto"/>
        <w:jc w:val="both"/>
      </w:pPr>
      <w:r>
        <w:rPr>
          <w:rFonts w:ascii="Times New Roman" w:hAnsi="Times New Roman"/>
          <w:color w:val="000000"/>
          <w:sz w:val="24"/>
        </w:rPr>
        <w:t>NumPy (Numerical Python) forms the foundational layer for numerical computing. Central to NumPy is the N-dimensional array object (ndarray), which encapsulates contiguous blocks of homogeneous data in memory. Unlike standard Python lists that store pointers to boxed objects, NumPy arrays provide direct, strided memory access that enables Single Instruction, Multiple Data (SIMD) hardware acceleration.</w:t>
      </w:r>
    </w:p>
    <w:p>
      <w:pPr>
        <w:spacing w:before="0" w:after="100" w:line="348" w:lineRule="auto"/>
        <w:jc w:val="both"/>
      </w:pPr>
      <w:r>
        <w:rPr>
          <w:rFonts w:ascii="Times New Roman" w:hAnsi="Times New Roman"/>
          <w:color w:val="000000"/>
          <w:sz w:val="24"/>
        </w:rPr>
        <w:t>Key mathematical mechanisms in NumPy include:</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Vectorization: Vectorized execution replaces explicit iterative loops in Python with highly optimized C-level loops, executing element-wise arithmetic across large arrays orders of magnitude faster.</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Broadcasting Rules: Broadcasting defines how NumPy handles arithmetic operations between arrays of differing shapes. An array of shape (N, 1) can be seamlessly combined with an array of shape (1, M) to yield an (N, M) matrix without explicit memory duplication, governed by dimension compatibility checks from trailing dimensions.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Linear Algebra (numpy.linalg): Provides optimized BLAS/LAPACK bindings for matrix inversion, singular value decomposition (SVD), eigenvalue decomposition, and Fourier transforms.</w:t>
      </w:r>
    </w:p>
    <w:p>
      <w:pPr>
        <w:keepNext/>
        <w:spacing w:before="180" w:after="60"/>
        <w:jc w:val="left"/>
      </w:pPr>
      <w:r>
        <w:rPr>
          <w:rFonts w:ascii="Times New Roman" w:hAnsi="Times New Roman"/>
          <w:b/>
          <w:color w:val="000000"/>
          <w:sz w:val="24"/>
        </w:rPr>
        <w:t>2.1.2 Pandas for Biomedical Time-Series Data</w:t>
      </w:r>
    </w:p>
    <w:p>
      <w:pPr>
        <w:spacing w:before="0" w:after="100" w:line="348" w:lineRule="auto"/>
        <w:jc w:val="both"/>
      </w:pPr>
      <w:r>
        <w:rPr>
          <w:rFonts w:ascii="Times New Roman" w:hAnsi="Times New Roman"/>
          <w:color w:val="000000"/>
          <w:sz w:val="24"/>
        </w:rPr>
        <w:t>Pandas provides high-level data structures—namely the 1D Series and 2D DataFrame—specifically designed for structured, labeled, and multi-rate time-series datasets. In physiological sensing, different sensors operate at asynchronous sampling frequencies (e.g., video at 30 FPS, reference contact PPG at 125 Hz, and Continuous Glucose Monitoring at 5-minute intervals).</w:t>
      </w:r>
    </w:p>
    <w:p>
      <w:pPr>
        <w:spacing w:before="0" w:after="100" w:line="348" w:lineRule="auto"/>
        <w:jc w:val="both"/>
      </w:pPr>
      <w:r>
        <w:rPr>
          <w:rFonts w:ascii="Times New Roman" w:hAnsi="Times New Roman"/>
          <w:color w:val="000000"/>
          <w:sz w:val="24"/>
        </w:rPr>
        <w:t>Core operations include:</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Datetime Indexing and Temporal Alignment: DatetimeIndex enables millisecond-precision alignment, nearest-neighbor timestamp matching, and synchronized multi-sensor joining.</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Resampling and Frequency Conversion: The .resample() method permits upsampling (with cubic spline or linear interpolation) and downsampling (with anti-aliasing aggregations).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Rolling Window Transformations: The .rolling(window=W) construct allows continuous computation of rolling statistics (mean, variance, standard deviation) essential for baseline drift tracking.</w:t>
      </w:r>
    </w:p>
    <w:p>
      <w:pPr>
        <w:keepNext/>
        <w:spacing w:before="180" w:after="60"/>
        <w:jc w:val="left"/>
      </w:pPr>
      <w:r>
        <w:rPr>
          <w:rFonts w:ascii="Times New Roman" w:hAnsi="Times New Roman"/>
          <w:b/>
          <w:color w:val="000000"/>
          <w:sz w:val="24"/>
        </w:rPr>
        <w:t>2.1.3 Matplotlib and Seaborn for Biomedical Visualization</w:t>
      </w:r>
    </w:p>
    <w:p>
      <w:pPr>
        <w:spacing w:before="0" w:after="100" w:line="348" w:lineRule="auto"/>
        <w:jc w:val="both"/>
      </w:pPr>
      <w:r>
        <w:rPr>
          <w:rFonts w:ascii="Times New Roman" w:hAnsi="Times New Roman"/>
          <w:color w:val="000000"/>
          <w:sz w:val="24"/>
        </w:rPr>
        <w:t>Visualizing complex multidimensional physiological signals is critical for diagnostic validation. Matplotlib’s object-oriented API (Figure and Axes objects) enables precise layout customization, multi-panel waveform plots, and publication-ready vector rendering. Seaborn builds upon Matplotlib to provide statistical data visualization, including correlation heatmaps, kernel density estimation (KDE) distributions, and categorical regression plots.</w:t>
      </w:r>
    </w:p>
    <w:p>
      <w:pPr>
        <w:keepNext/>
        <w:spacing w:before="240" w:after="80"/>
        <w:jc w:val="left"/>
      </w:pPr>
      <w:r>
        <w:rPr>
          <w:rFonts w:ascii="Times New Roman" w:hAnsi="Times New Roman"/>
          <w:b/>
          <w:color w:val="000000"/>
          <w:sz w:val="26"/>
        </w:rPr>
        <w:t>2.2 Data Preprocessing, Cleaning &amp; Statistical Conditioning</w:t>
      </w:r>
    </w:p>
    <w:p>
      <w:pPr>
        <w:spacing w:before="0" w:after="100" w:line="348" w:lineRule="auto"/>
        <w:jc w:val="both"/>
      </w:pPr>
      <w:r>
        <w:rPr>
          <w:rFonts w:ascii="Times New Roman" w:hAnsi="Times New Roman"/>
          <w:color w:val="000000"/>
          <w:sz w:val="24"/>
        </w:rPr>
        <w:t>Raw biomedical data is inherently non-stationary, contaminated by ambient sensor drift, motion artifacts, missing records, and high-frequency electronic noise. Preprocessing transforms raw sensory measurements into clean, normalized signals suitable for machine learning.</w:t>
      </w:r>
    </w:p>
    <w:p>
      <w:pPr>
        <w:keepNext/>
        <w:spacing w:before="180" w:after="60"/>
        <w:jc w:val="left"/>
      </w:pPr>
      <w:r>
        <w:rPr>
          <w:rFonts w:ascii="Times New Roman" w:hAnsi="Times New Roman"/>
          <w:b/>
          <w:color w:val="000000"/>
          <w:sz w:val="24"/>
        </w:rPr>
        <w:t>2.2.1 Missing Value Imputation and Outlier Detection</w:t>
      </w:r>
    </w:p>
    <w:p>
      <w:pPr>
        <w:spacing w:before="0" w:after="100" w:line="348" w:lineRule="auto"/>
        <w:jc w:val="both"/>
      </w:pPr>
      <w:r>
        <w:rPr>
          <w:rFonts w:ascii="Times New Roman" w:hAnsi="Times New Roman"/>
          <w:color w:val="000000"/>
          <w:sz w:val="24"/>
        </w:rPr>
        <w:t>Missing sensor records are addressed through forward/backward filling for short gaps or piecewise cubic Hermite interpolating polynomials (PCHIP) for physiological continuity. Outliers caused by sensor detachment are detected using statistical thresholds: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Z-Score Gating: Samples where |z| &gt; 3, where z = (x - μ) / σ, are flagged and replaced or suppressed.</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Tukey’s Interquartile Range (IQR): Values falling outside [Q1 - 1.5·IQR, Q3 + 1.5·IQR] are bounded to prevent gradient explosion during neural training.</w:t>
      </w:r>
    </w:p>
    <w:p>
      <w:pPr>
        <w:keepNext/>
        <w:spacing w:before="180" w:after="60"/>
        <w:jc w:val="left"/>
      </w:pPr>
      <w:r>
        <w:rPr>
          <w:rFonts w:ascii="Times New Roman" w:hAnsi="Times New Roman"/>
          <w:b/>
          <w:color w:val="000000"/>
          <w:sz w:val="24"/>
        </w:rPr>
        <w:t>2.2.2 Feature Scaling and Normalization</w:t>
      </w:r>
    </w:p>
    <w:p>
      <w:pPr>
        <w:spacing w:before="0" w:after="100" w:line="348" w:lineRule="auto"/>
        <w:jc w:val="both"/>
      </w:pPr>
      <w:r>
        <w:rPr>
          <w:rFonts w:ascii="Times New Roman" w:hAnsi="Times New Roman"/>
          <w:color w:val="000000"/>
          <w:sz w:val="24"/>
        </w:rPr>
        <w:t>To prevent features with large numeric ranges from dominating gradient updates, scaling transformations are applied:</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Min-Max Normalization: Rescales values to the interval [0, 1]:</w:t>
        <w:br/>
        <w:t xml:space="preserve">   X_norm = (X - X_min) / (X_max - X_min)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Standardization (Z-Score): Centers data to zero mean and unit variance:</w:t>
        <w:br/>
        <w:t xml:space="preserve">   X_std = (X - μ) / σ</w:t>
      </w:r>
    </w:p>
    <w:p>
      <w:pPr>
        <w:keepNext/>
        <w:spacing w:before="180" w:after="60"/>
        <w:jc w:val="left"/>
      </w:pPr>
      <w:r>
        <w:rPr>
          <w:rFonts w:ascii="Times New Roman" w:hAnsi="Times New Roman"/>
          <w:b/>
          <w:color w:val="000000"/>
          <w:sz w:val="24"/>
        </w:rPr>
        <w:t>2.2.3 Digital Filtering &amp; The Savitzky-Golay Polynomial Smoothing Filter</w:t>
      </w:r>
    </w:p>
    <w:p>
      <w:pPr>
        <w:spacing w:before="0" w:after="100" w:line="348" w:lineRule="auto"/>
        <w:jc w:val="both"/>
      </w:pPr>
      <w:r>
        <w:rPr>
          <w:rFonts w:ascii="Times New Roman" w:hAnsi="Times New Roman"/>
          <w:color w:val="000000"/>
          <w:sz w:val="24"/>
        </w:rPr>
        <w:t>Traditional low-pass infinite impulse response (IIR) filters (such as Butterworth filters) reduce high-frequency noise but often distort peak amplitudes and broaden sharp morphological transitions. The Savitzky-Golay filter addresses this by fitting a local polynomial of degree k across a moving window of length 2m + 1 points using linear least-squares regression.</w:t>
      </w:r>
    </w:p>
    <w:p>
      <w:pPr>
        <w:spacing w:before="0" w:after="100" w:line="348" w:lineRule="auto"/>
        <w:jc w:val="both"/>
      </w:pPr>
      <w:r>
        <w:rPr>
          <w:rFonts w:ascii="Times New Roman" w:hAnsi="Times New Roman"/>
          <w:color w:val="000000"/>
          <w:sz w:val="24"/>
        </w:rPr>
        <w:t>Mathematically, the smoothed output g_i at point i is expressed as a convolution with precomputed coefficients c_n:</w:t>
        <w:br/>
        <w:t xml:space="preserve">   g_i = ∑_{n = -m}^{m} c_n · x_{i+n}</w:t>
      </w:r>
    </w:p>
    <w:p>
      <w:pPr>
        <w:spacing w:before="0" w:after="100" w:line="348" w:lineRule="auto"/>
        <w:jc w:val="both"/>
      </w:pPr>
      <w:r>
        <w:rPr>
          <w:rFonts w:ascii="Times New Roman" w:hAnsi="Times New Roman"/>
          <w:color w:val="000000"/>
          <w:sz w:val="24"/>
        </w:rPr>
        <w:t>Because the convolution weights c_n correspond directly to the least-squares polynomial solution, the Savitzky-Golay filter preserves higher-order moments (peak height, pulse width, and inflection points). This property is vital in optical hemodynamics, where preserving the dicrotic notch and systolic upstroke gradient is essential for accurate blood pressure estimation.</w:t>
      </w:r>
    </w:p>
    <w:p>
      <w:pPr>
        <w:keepNext/>
        <w:spacing w:before="240" w:after="80"/>
        <w:jc w:val="left"/>
      </w:pPr>
      <w:r>
        <w:rPr>
          <w:rFonts w:ascii="Times New Roman" w:hAnsi="Times New Roman"/>
          <w:b/>
          <w:color w:val="000000"/>
          <w:sz w:val="26"/>
        </w:rPr>
        <w:t>2.3 Machine Learning Taxonomy &amp; Mathematical Core</w:t>
      </w:r>
    </w:p>
    <w:p>
      <w:pPr>
        <w:spacing w:before="0" w:after="100" w:line="348" w:lineRule="auto"/>
        <w:jc w:val="both"/>
      </w:pPr>
      <w:r>
        <w:rPr>
          <w:rFonts w:ascii="Times New Roman" w:hAnsi="Times New Roman"/>
          <w:color w:val="000000"/>
          <w:sz w:val="24"/>
        </w:rPr>
        <w:t>Machine learning models learn functional mappings f: X → Y from empirical training data without being explicitly programmed.</w:t>
      </w:r>
    </w:p>
    <w:p>
      <w:pPr>
        <w:keepNext/>
        <w:spacing w:before="180" w:after="60"/>
        <w:jc w:val="left"/>
      </w:pPr>
      <w:r>
        <w:rPr>
          <w:rFonts w:ascii="Times New Roman" w:hAnsi="Times New Roman"/>
          <w:b/>
          <w:color w:val="000000"/>
          <w:sz w:val="24"/>
        </w:rPr>
        <w:t>2.3.1 Paradigms of Machine Learning</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Supervised Learning: The algorithm learns from paired input-target instances (x_i, y_i). Tasks include continuous regression (e.g., blood pressure, blood glucose) and discrete classification (e.g., normotensive vs. hypertensive).</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Unsupervised Learning: The algorithm discovers latent structures, clusters, or lower-dimensional representations from unlabeled inputs x_i (e.g., Principal Component Analysis, Independent Component Analysis, K-Means clustering).</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Semi-Supervised Learning: Leverages a large volume of unlabeled data combined with a small subset of labeled data to enhance representation learning.</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Reinforcement Learning: An autonomous agent interacts with an environment through a Markov Decision Process (MDP), learning an optimal policy π(a|s) to maximize cumulative discounted rewards R = ∑ γ^t r_t.</w:t>
      </w:r>
    </w:p>
    <w:p>
      <w:pPr>
        <w:keepNext/>
        <w:spacing w:before="180" w:after="60"/>
        <w:jc w:val="left"/>
      </w:pPr>
      <w:r>
        <w:rPr>
          <w:rFonts w:ascii="Times New Roman" w:hAnsi="Times New Roman"/>
          <w:b/>
          <w:color w:val="000000"/>
          <w:sz w:val="24"/>
        </w:rPr>
        <w:t>2.3.2 The Bias-Variance Tradeoff and Generalization</w:t>
      </w:r>
    </w:p>
    <w:p>
      <w:pPr>
        <w:spacing w:before="0" w:after="100" w:line="348" w:lineRule="auto"/>
        <w:jc w:val="both"/>
      </w:pPr>
      <w:r>
        <w:rPr>
          <w:rFonts w:ascii="Times New Roman" w:hAnsi="Times New Roman"/>
          <w:color w:val="000000"/>
          <w:sz w:val="24"/>
        </w:rPr>
        <w:t>In statistical learning theory, the expected test mean squared error of a regression estimator f̂(x) decomposes into three distinct components:</w:t>
        <w:br/>
        <w:t xml:space="preserve">   E[(y - f̂(x))^2] = Bias^2[f̂(x)] + Var[f̂(x)] + σ_ε^2</w:t>
      </w:r>
    </w:p>
    <w:p>
      <w:pPr>
        <w:spacing w:before="0" w:after="100" w:line="348" w:lineRule="auto"/>
        <w:jc w:val="both"/>
      </w:pPr>
      <w:r>
        <w:rPr>
          <w:rFonts w:ascii="Times New Roman" w:hAnsi="Times New Roman"/>
          <w:color w:val="000000"/>
          <w:sz w:val="24"/>
        </w:rPr>
        <w:t>where Bias[f̂(x)] = E[f̂(x)] - f(x) represents the error from erroneous model assumptions (leading to underfitting), Var[f̂(x)] = E[(f̂(x) - E[f̂(x)])^2] represents sensitivity to small fluctuations in the training set (leading to overfitting), and σ_ε^2 is the irreducible noise floor. The objective of hyperparameter tuning and model regularization is to locate the optimal capacity that minimizes total generalization error.</w:t>
      </w:r>
    </w:p>
    <w:p>
      <w:pPr>
        <w:keepNext/>
        <w:spacing w:before="180" w:after="60"/>
        <w:jc w:val="left"/>
      </w:pPr>
      <w:r>
        <w:rPr>
          <w:rFonts w:ascii="Times New Roman" w:hAnsi="Times New Roman"/>
          <w:b/>
          <w:color w:val="000000"/>
          <w:sz w:val="24"/>
        </w:rPr>
        <w:t>2.3.3 Validation Strategies &amp; Leave-One-Subject-Out (LOSO)</w:t>
      </w:r>
    </w:p>
    <w:p>
      <w:pPr>
        <w:spacing w:before="0" w:after="100" w:line="348" w:lineRule="auto"/>
        <w:jc w:val="both"/>
      </w:pPr>
      <w:r>
        <w:rPr>
          <w:rFonts w:ascii="Times New Roman" w:hAnsi="Times New Roman"/>
          <w:color w:val="000000"/>
          <w:sz w:val="24"/>
        </w:rPr>
        <w:t>Evaluating models on biomedical signals requires strict partitioning protocols to prevent data leakage. In K-Fold Cross-Validation, the dataset is split into K equal partitions, iteratively training on K-1 folds and testing on the remaining fold. However, when multiple windows originate from the same subject, standard K-Fold causes severe subject leakage. To establish genuine clinical generalizability, Leave-One-Subject-Out (LOSO) cross-validation is employed, wherein all records from a given individual are strictly withheld from training.</w:t>
      </w:r>
    </w:p>
    <w:p>
      <w:pPr>
        <w:keepNext/>
        <w:spacing w:before="180" w:after="60"/>
        <w:jc w:val="left"/>
      </w:pPr>
      <w:r>
        <w:rPr>
          <w:rFonts w:ascii="Times New Roman" w:hAnsi="Times New Roman"/>
          <w:b/>
          <w:color w:val="000000"/>
          <w:sz w:val="24"/>
        </w:rPr>
        <w:t>2.3.4 Regression Algorithms and Regularization</w:t>
      </w:r>
    </w:p>
    <w:p>
      <w:pPr>
        <w:spacing w:before="0" w:after="100" w:line="348" w:lineRule="auto"/>
        <w:jc w:val="both"/>
      </w:pPr>
      <w:r>
        <w:rPr>
          <w:rFonts w:ascii="Times New Roman" w:hAnsi="Times New Roman"/>
          <w:color w:val="000000"/>
          <w:sz w:val="24"/>
        </w:rPr>
        <w:t>Regression models estimate continuous physiological variables: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Linear Regression (Ordinary Least Squares): Models y = Xw + b by minimizing ||y - Xw||_2^2, solved via normal equations w = (X^T X)^{-1} X^T y or gradient descent.</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Polynomial Regression: Extends linear models by mapping inputs into higher-order polynomial feature spaces Φ(x) = [1, x, x^2, ..., x^d].</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Ridge Regression (L2 Regularization): Adds a quadratic penalty term λ||w||_2^2 to shrink weights toward zero, preventing multicollinearity.</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Lasso Regression (L1 Regularization): Adds an absolute penalty λ||w||_1, driving non-informative coefficients to exactly zero to perform automated feature selection.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ElasticNet: Combines L1 and L2 penalties via α||w||_1 + (1-α)||w||_2^2 to balance sparsity with correlated group selection.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Logistic Regression: Formulates binary classification by passing linear combinations through the sigmoid logistic function σ(z) = 1 / (1 + e^{-z}), trained using binary cross-entropy loss.</w:t>
      </w:r>
    </w:p>
    <w:p>
      <w:pPr>
        <w:keepNext/>
        <w:spacing w:before="180" w:after="60"/>
        <w:jc w:val="left"/>
      </w:pPr>
      <w:r>
        <w:rPr>
          <w:rFonts w:ascii="Times New Roman" w:hAnsi="Times New Roman"/>
          <w:b/>
          <w:color w:val="000000"/>
          <w:sz w:val="24"/>
        </w:rPr>
        <w:t>2.3.5 Performance Evaluation Metrics</w:t>
      </w:r>
    </w:p>
    <w:p>
      <w:pPr>
        <w:spacing w:before="0" w:after="100" w:line="348" w:lineRule="auto"/>
        <w:jc w:val="both"/>
      </w:pPr>
      <w:r>
        <w:rPr>
          <w:rFonts w:ascii="Times New Roman" w:hAnsi="Times New Roman"/>
          <w:color w:val="000000"/>
          <w:sz w:val="24"/>
        </w:rPr>
        <w:t>Quantitative assessment of model performance utilizes distinct statistical metrics for classification and regression tasks, as summarized in Table 2.1.</w:t>
      </w:r>
    </w:p>
    <w:p>
      <w:pPr>
        <w:keepNext/>
        <w:spacing w:before="200" w:after="60"/>
        <w:jc w:val="center"/>
      </w:pPr>
      <w:r>
        <w:rPr>
          <w:rFonts w:ascii="Times New Roman" w:hAnsi="Times New Roman"/>
          <w:b/>
          <w:sz w:val="23"/>
        </w:rPr>
        <w:t xml:space="preserve">Table 2.1: </w:t>
      </w:r>
      <w:r>
        <w:rPr>
          <w:rFonts w:ascii="Times New Roman" w:hAnsi="Times New Roman"/>
          <w:b/>
          <w:sz w:val="23"/>
        </w:rPr>
        <w:t>Machine Learning Performance Metrics Mathematical Summary</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60"/>
        <w:gridCol w:w="2160"/>
        <w:gridCol w:w="2160"/>
        <w:gridCol w:w="2160"/>
      </w:tblGrid>
      <w:tr>
        <w:trPr>
          <w:cantSplit/>
          <w:tblHeader/>
        </w:trPr>
        <w:tc>
          <w:tcPr>
            <w:tcW w:type="dxa" w:w="158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Metric Category</w:t>
            </w:r>
          </w:p>
        </w:tc>
        <w:tc>
          <w:tcPr>
            <w:tcW w:type="dxa" w:w="158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Metric Name</w:t>
            </w:r>
          </w:p>
        </w:tc>
        <w:tc>
          <w:tcPr>
            <w:tcW w:type="dxa" w:w="316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Mathematical Formulation</w:t>
            </w:r>
          </w:p>
        </w:tc>
        <w:tc>
          <w:tcPr>
            <w:tcW w:type="dxa" w:w="288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Clinical / Analytical Interpretation</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Regression</w:t>
            </w:r>
          </w:p>
        </w:tc>
        <w:tc>
          <w:tcPr>
            <w:tcW w:type="dxa" w:w="1584"/>
            <w:tcMar>
              <w:top w:w="50" w:type="dxa"/>
              <w:bottom w:w="50" w:type="dxa"/>
              <w:left w:w="80" w:type="dxa"/>
              <w:right w:w="80" w:type="dxa"/>
            </w:tcMar>
          </w:tcPr>
          <w:p>
            <w:pPr>
              <w:spacing w:before="10" w:after="10" w:line="252" w:lineRule="auto"/>
              <w:jc w:val="center"/>
            </w:pPr>
            <w:r>
              <w:rPr>
                <w:rFonts w:ascii="Times New Roman" w:hAnsi="Times New Roman"/>
                <w:color w:val="000000"/>
                <w:sz w:val="20"/>
              </w:rPr>
              <w:t>MAE</w:t>
            </w:r>
          </w:p>
        </w:tc>
        <w:tc>
          <w:tcPr>
            <w:tcW w:type="dxa" w:w="3168"/>
            <w:tcMar>
              <w:top w:w="50" w:type="dxa"/>
              <w:bottom w:w="50" w:type="dxa"/>
              <w:left w:w="80" w:type="dxa"/>
              <w:right w:w="80" w:type="dxa"/>
            </w:tcMar>
          </w:tcPr>
          <w:p>
            <w:pPr>
              <w:spacing w:before="10" w:after="10" w:line="252" w:lineRule="auto"/>
              <w:jc w:val="left"/>
            </w:pPr>
            <w:r>
              <w:rPr>
                <w:rFonts w:ascii="Times New Roman" w:hAnsi="Times New Roman"/>
                <w:color w:val="000000"/>
                <w:sz w:val="20"/>
              </w:rPr>
              <w:t>MAE = (1/n) ∑ |y_i - ŷ_i|</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Average magnitude of absolute error; robust to extreme outliers.</w:t>
            </w:r>
          </w:p>
        </w:tc>
      </w:tr>
      <w:tr>
        <w:trPr>
          <w:cantSplit/>
        </w:trPr>
        <w:tc>
          <w:tcPr>
            <w:tcW w:type="dxa" w:w="15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Regression</w:t>
            </w:r>
          </w:p>
        </w:tc>
        <w:tc>
          <w:tcPr>
            <w:tcW w:type="dxa" w:w="158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RMSE</w:t>
            </w:r>
          </w:p>
        </w:tc>
        <w:tc>
          <w:tcPr>
            <w:tcW w:type="dxa" w:w="316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RMSE = √[(1/n) ∑ (y_i - ŷ_i)^2]</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Square root of variance of residuals; heavily penalizes large errors.</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Regression</w:t>
            </w:r>
          </w:p>
        </w:tc>
        <w:tc>
          <w:tcPr>
            <w:tcW w:type="dxa" w:w="1584"/>
            <w:tcMar>
              <w:top w:w="50" w:type="dxa"/>
              <w:bottom w:w="50" w:type="dxa"/>
              <w:left w:w="80" w:type="dxa"/>
              <w:right w:w="80" w:type="dxa"/>
            </w:tcMar>
          </w:tcPr>
          <w:p>
            <w:pPr>
              <w:spacing w:before="10" w:after="10" w:line="252" w:lineRule="auto"/>
              <w:jc w:val="center"/>
            </w:pPr>
            <w:r>
              <w:rPr>
                <w:rFonts w:ascii="Times New Roman" w:hAnsi="Times New Roman"/>
                <w:color w:val="000000"/>
                <w:sz w:val="20"/>
              </w:rPr>
              <w:t>Pearson r</w:t>
            </w:r>
          </w:p>
        </w:tc>
        <w:tc>
          <w:tcPr>
            <w:tcW w:type="dxa" w:w="3168"/>
            <w:tcMar>
              <w:top w:w="50" w:type="dxa"/>
              <w:bottom w:w="50" w:type="dxa"/>
              <w:left w:w="80" w:type="dxa"/>
              <w:right w:w="80" w:type="dxa"/>
            </w:tcMar>
          </w:tcPr>
          <w:p>
            <w:pPr>
              <w:spacing w:before="10" w:after="10" w:line="252" w:lineRule="auto"/>
              <w:jc w:val="left"/>
            </w:pPr>
            <w:r>
              <w:rPr>
                <w:rFonts w:ascii="Times New Roman" w:hAnsi="Times New Roman"/>
                <w:color w:val="000000"/>
                <w:sz w:val="20"/>
              </w:rPr>
              <w:t>r = ∑(y_i - ȳ)(ŷ_i - ȳ̂) / [√∑(y_i - ȳ)^2 √∑(ŷ_i - ȳ̂)^2]</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Measures linear tracking and correlation; tests true physiological sensitivity.</w:t>
            </w:r>
          </w:p>
        </w:tc>
      </w:tr>
      <w:tr>
        <w:trPr>
          <w:cantSplit/>
        </w:trPr>
        <w:tc>
          <w:tcPr>
            <w:tcW w:type="dxa" w:w="15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Regression</w:t>
            </w:r>
          </w:p>
        </w:tc>
        <w:tc>
          <w:tcPr>
            <w:tcW w:type="dxa" w:w="158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R² Score</w:t>
            </w:r>
          </w:p>
        </w:tc>
        <w:tc>
          <w:tcPr>
            <w:tcW w:type="dxa" w:w="316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R² = 1 - [∑(y_i - ŷ_i)^2 / ∑(y_i - ȳ)^2]</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Proportion of target variance explained by the model.</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Classification</w:t>
            </w:r>
          </w:p>
        </w:tc>
        <w:tc>
          <w:tcPr>
            <w:tcW w:type="dxa" w:w="1584"/>
            <w:tcMar>
              <w:top w:w="50" w:type="dxa"/>
              <w:bottom w:w="50" w:type="dxa"/>
              <w:left w:w="80" w:type="dxa"/>
              <w:right w:w="80" w:type="dxa"/>
            </w:tcMar>
          </w:tcPr>
          <w:p>
            <w:pPr>
              <w:spacing w:before="10" w:after="10" w:line="252" w:lineRule="auto"/>
              <w:jc w:val="center"/>
            </w:pPr>
            <w:r>
              <w:rPr>
                <w:rFonts w:ascii="Times New Roman" w:hAnsi="Times New Roman"/>
                <w:color w:val="000000"/>
                <w:sz w:val="20"/>
              </w:rPr>
              <w:t>Accuracy</w:t>
            </w:r>
          </w:p>
        </w:tc>
        <w:tc>
          <w:tcPr>
            <w:tcW w:type="dxa" w:w="3168"/>
            <w:tcMar>
              <w:top w:w="50" w:type="dxa"/>
              <w:bottom w:w="50" w:type="dxa"/>
              <w:left w:w="80" w:type="dxa"/>
              <w:right w:w="80" w:type="dxa"/>
            </w:tcMar>
          </w:tcPr>
          <w:p>
            <w:pPr>
              <w:spacing w:before="10" w:after="10" w:line="252" w:lineRule="auto"/>
              <w:jc w:val="left"/>
            </w:pPr>
            <w:r>
              <w:rPr>
                <w:rFonts w:ascii="Times New Roman" w:hAnsi="Times New Roman"/>
                <w:color w:val="000000"/>
                <w:sz w:val="20"/>
              </w:rPr>
              <w:t>Acc = (TP + TN) / (TP + TN + FP + FN)</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Overall proportion of correct classifications.</w:t>
            </w:r>
          </w:p>
        </w:tc>
      </w:tr>
      <w:tr>
        <w:trPr>
          <w:cantSplit/>
        </w:trPr>
        <w:tc>
          <w:tcPr>
            <w:tcW w:type="dxa" w:w="15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Classification</w:t>
            </w:r>
          </w:p>
        </w:tc>
        <w:tc>
          <w:tcPr>
            <w:tcW w:type="dxa" w:w="158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Precision</w:t>
            </w:r>
          </w:p>
        </w:tc>
        <w:tc>
          <w:tcPr>
            <w:tcW w:type="dxa" w:w="316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Prec = TP / (TP + FP)</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Reliability of positive predictions (minimizes false alarms).</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Classification</w:t>
            </w:r>
          </w:p>
        </w:tc>
        <w:tc>
          <w:tcPr>
            <w:tcW w:type="dxa" w:w="1584"/>
            <w:tcMar>
              <w:top w:w="50" w:type="dxa"/>
              <w:bottom w:w="50" w:type="dxa"/>
              <w:left w:w="80" w:type="dxa"/>
              <w:right w:w="80" w:type="dxa"/>
            </w:tcMar>
          </w:tcPr>
          <w:p>
            <w:pPr>
              <w:spacing w:before="10" w:after="10" w:line="252" w:lineRule="auto"/>
              <w:jc w:val="center"/>
            </w:pPr>
            <w:r>
              <w:rPr>
                <w:rFonts w:ascii="Times New Roman" w:hAnsi="Times New Roman"/>
                <w:color w:val="000000"/>
                <w:sz w:val="20"/>
              </w:rPr>
              <w:t>Recall (Sens.)</w:t>
            </w:r>
          </w:p>
        </w:tc>
        <w:tc>
          <w:tcPr>
            <w:tcW w:type="dxa" w:w="3168"/>
            <w:tcMar>
              <w:top w:w="50" w:type="dxa"/>
              <w:bottom w:w="50" w:type="dxa"/>
              <w:left w:w="80" w:type="dxa"/>
              <w:right w:w="80" w:type="dxa"/>
            </w:tcMar>
          </w:tcPr>
          <w:p>
            <w:pPr>
              <w:spacing w:before="10" w:after="10" w:line="252" w:lineRule="auto"/>
              <w:jc w:val="center"/>
            </w:pPr>
            <w:r>
              <w:rPr>
                <w:rFonts w:ascii="Times New Roman" w:hAnsi="Times New Roman"/>
                <w:color w:val="000000"/>
                <w:sz w:val="20"/>
              </w:rPr>
              <w:t>Rec = TP / (TP + FN)</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Ability to identify positive cases (vital for disease screening).</w:t>
            </w:r>
          </w:p>
        </w:tc>
      </w:tr>
      <w:tr>
        <w:trPr>
          <w:cantSplit/>
        </w:trPr>
        <w:tc>
          <w:tcPr>
            <w:tcW w:type="dxa" w:w="15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Classification</w:t>
            </w:r>
          </w:p>
        </w:tc>
        <w:tc>
          <w:tcPr>
            <w:tcW w:type="dxa" w:w="158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F1-Score</w:t>
            </w:r>
          </w:p>
        </w:tc>
        <w:tc>
          <w:tcPr>
            <w:tcW w:type="dxa" w:w="316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F1 = 2 · (Prec · Rec) / (Prec + Rec)</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Harmonic mean of precision and recall for imbalanced cohorts.</w:t>
            </w:r>
          </w:p>
        </w:tc>
      </w:tr>
    </w:tbl>
    <w:p>
      <w:pPr>
        <w:spacing w:before="0" w:after="120"/>
      </w:pPr>
    </w:p>
    <w:p>
      <w:pPr>
        <w:keepNext/>
        <w:spacing w:before="240" w:after="80"/>
        <w:jc w:val="left"/>
      </w:pPr>
      <w:r>
        <w:rPr>
          <w:rFonts w:ascii="Times New Roman" w:hAnsi="Times New Roman"/>
          <w:b/>
          <w:color w:val="000000"/>
          <w:sz w:val="26"/>
        </w:rPr>
        <w:t>2.4 Deep Learning Architectures &amp; Optimization</w:t>
      </w:r>
    </w:p>
    <w:p>
      <w:pPr>
        <w:spacing w:before="0" w:after="100" w:line="348" w:lineRule="auto"/>
        <w:jc w:val="both"/>
      </w:pPr>
      <w:r>
        <w:rPr>
          <w:rFonts w:ascii="Times New Roman" w:hAnsi="Times New Roman"/>
          <w:color w:val="000000"/>
          <w:sz w:val="24"/>
        </w:rPr>
        <w:t>Deep Learning replaces hand-crafted feature extraction with end-to-end hierarchical representation learning directly from raw or minimally preprocessed time series and spatial images.</w:t>
      </w:r>
    </w:p>
    <w:p>
      <w:pPr>
        <w:keepNext/>
        <w:spacing w:before="180" w:after="60"/>
        <w:jc w:val="left"/>
      </w:pPr>
      <w:r>
        <w:rPr>
          <w:rFonts w:ascii="Times New Roman" w:hAnsi="Times New Roman"/>
          <w:b/>
          <w:color w:val="000000"/>
          <w:sz w:val="24"/>
        </w:rPr>
        <w:t>2.4.1 Feedforward Deep Neural Networks &amp; Activation Functions</w:t>
      </w:r>
    </w:p>
    <w:p>
      <w:pPr>
        <w:spacing w:before="0" w:after="100" w:line="348" w:lineRule="auto"/>
        <w:jc w:val="both"/>
      </w:pPr>
      <w:r>
        <w:rPr>
          <w:rFonts w:ascii="Times New Roman" w:hAnsi="Times New Roman"/>
          <w:color w:val="000000"/>
          <w:sz w:val="24"/>
        </w:rPr>
        <w:t>A Deep Neural Network (DNN) transforms an input vector x through successive affine transformations and element-wise non-linear activations:</w:t>
        <w:br/>
        <w:t xml:space="preserve">   z^{[l]} = W^{[l]} a^{[l-1]} + b^{[l]},   a^{[l]} = g^{[l]}(z^{[l]})</w:t>
      </w:r>
    </w:p>
    <w:p>
      <w:pPr>
        <w:spacing w:before="0" w:after="100" w:line="348" w:lineRule="auto"/>
        <w:jc w:val="both"/>
      </w:pPr>
      <w:r>
        <w:rPr>
          <w:rFonts w:ascii="Times New Roman" w:hAnsi="Times New Roman"/>
          <w:color w:val="000000"/>
          <w:sz w:val="24"/>
        </w:rPr>
        <w:t>Non-linear activation functions g(·) enable neural networks to approximate arbitrary continuous functions. Table 2.2 details the core activations used across modern architectures.</w:t>
      </w:r>
    </w:p>
    <w:p>
      <w:pPr>
        <w:keepNext/>
        <w:spacing w:before="200" w:after="60"/>
        <w:jc w:val="center"/>
      </w:pPr>
      <w:r>
        <w:rPr>
          <w:rFonts w:ascii="Times New Roman" w:hAnsi="Times New Roman"/>
          <w:b/>
          <w:sz w:val="23"/>
        </w:rPr>
        <w:t xml:space="preserve">Table 2.2: </w:t>
      </w:r>
      <w:r>
        <w:rPr>
          <w:rFonts w:ascii="Times New Roman" w:hAnsi="Times New Roman"/>
          <w:b/>
          <w:sz w:val="23"/>
        </w:rPr>
        <w:t>Deep Learning Layer Activations and Mathematical Functions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60"/>
        <w:gridCol w:w="2160"/>
        <w:gridCol w:w="2160"/>
        <w:gridCol w:w="2160"/>
      </w:tblGrid>
      <w:tr>
        <w:trPr>
          <w:cantSplit/>
          <w:tblHeader/>
        </w:trPr>
        <w:tc>
          <w:tcPr>
            <w:tcW w:type="dxa" w:w="201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Activation Function</w:t>
            </w:r>
          </w:p>
        </w:tc>
        <w:tc>
          <w:tcPr>
            <w:tcW w:type="dxa" w:w="259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Mathematical Formulation</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Range</w:t>
            </w:r>
          </w:p>
        </w:tc>
        <w:tc>
          <w:tcPr>
            <w:tcW w:type="dxa" w:w="345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Key Characteristics &amp; Application</w:t>
            </w:r>
          </w:p>
        </w:tc>
      </w:tr>
      <w:tr>
        <w:trPr>
          <w:cantSplit/>
        </w:trPr>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Sigmoid (σ)</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σ(z) = 1 / (1 + e^{-z})</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(0, 1)</w:t>
            </w:r>
          </w:p>
        </w:tc>
        <w:tc>
          <w:tcPr>
            <w:tcW w:type="dxa" w:w="3456"/>
            <w:tcMar>
              <w:top w:w="50" w:type="dxa"/>
              <w:bottom w:w="50" w:type="dxa"/>
              <w:left w:w="80" w:type="dxa"/>
              <w:right w:w="80" w:type="dxa"/>
            </w:tcMar>
          </w:tcPr>
          <w:p>
            <w:pPr>
              <w:spacing w:before="10" w:after="10" w:line="252" w:lineRule="auto"/>
              <w:jc w:val="left"/>
            </w:pPr>
            <w:r>
              <w:rPr>
                <w:rFonts w:ascii="Times New Roman" w:hAnsi="Times New Roman"/>
                <w:color w:val="000000"/>
                <w:sz w:val="20"/>
              </w:rPr>
              <w:t>Smooth probability mapping; susceptible to vanishing gradient.</w:t>
            </w:r>
          </w:p>
        </w:tc>
      </w:tr>
      <w:tr>
        <w:trPr>
          <w:cantSplit/>
        </w:trPr>
        <w:tc>
          <w:tcPr>
            <w:tcW w:type="dxa" w:w="201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Hyperbolic Tangent (tanh)</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tanh(z) = (e^z - e^{-z}) / (e^z + e^{-z})</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 1)</w:t>
            </w:r>
          </w:p>
        </w:tc>
        <w:tc>
          <w:tcPr>
            <w:tcW w:type="dxa" w:w="345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Zero-centered; preferred in recurrent cell state candidate gating.</w:t>
            </w:r>
          </w:p>
        </w:tc>
      </w:tr>
      <w:tr>
        <w:trPr>
          <w:cantSplit/>
        </w:trPr>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Rectified Linear Unit (ReLU)</w:t>
            </w:r>
          </w:p>
        </w:tc>
        <w:tc>
          <w:tcPr>
            <w:tcW w:type="dxa" w:w="2592"/>
            <w:tcMar>
              <w:top w:w="50" w:type="dxa"/>
              <w:bottom w:w="50" w:type="dxa"/>
              <w:left w:w="80" w:type="dxa"/>
              <w:right w:w="80" w:type="dxa"/>
            </w:tcMar>
          </w:tcPr>
          <w:p>
            <w:pPr>
              <w:spacing w:before="10" w:after="10" w:line="252" w:lineRule="auto"/>
              <w:jc w:val="center"/>
            </w:pPr>
            <w:r>
              <w:rPr>
                <w:rFonts w:ascii="Times New Roman" w:hAnsi="Times New Roman"/>
                <w:color w:val="000000"/>
                <w:sz w:val="20"/>
              </w:rPr>
              <w:t>ReLU(z) = max(0, z)</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[0, ∞)</w:t>
            </w:r>
          </w:p>
        </w:tc>
        <w:tc>
          <w:tcPr>
            <w:tcW w:type="dxa" w:w="3456"/>
            <w:tcMar>
              <w:top w:w="50" w:type="dxa"/>
              <w:bottom w:w="50" w:type="dxa"/>
              <w:left w:w="80" w:type="dxa"/>
              <w:right w:w="80" w:type="dxa"/>
            </w:tcMar>
          </w:tcPr>
          <w:p>
            <w:pPr>
              <w:spacing w:before="10" w:after="10" w:line="252" w:lineRule="auto"/>
              <w:jc w:val="left"/>
            </w:pPr>
            <w:r>
              <w:rPr>
                <w:rFonts w:ascii="Times New Roman" w:hAnsi="Times New Roman"/>
                <w:color w:val="000000"/>
                <w:sz w:val="20"/>
              </w:rPr>
              <w:t>Fast computation, non-saturating gradients; default in CNNs.</w:t>
            </w:r>
          </w:p>
        </w:tc>
      </w:tr>
      <w:tr>
        <w:trPr>
          <w:cantSplit/>
        </w:trPr>
        <w:tc>
          <w:tcPr>
            <w:tcW w:type="dxa" w:w="201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Leaky ReLU</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LReLU(z) = max(αz, z), α≈0.01</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 ∞)</w:t>
            </w:r>
          </w:p>
        </w:tc>
        <w:tc>
          <w:tcPr>
            <w:tcW w:type="dxa" w:w="345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Prevents dying ReLU neurons by maintaining small gradient for z&lt;0.</w:t>
            </w:r>
          </w:p>
        </w:tc>
      </w:tr>
      <w:tr>
        <w:trPr>
          <w:cantSplit/>
        </w:trPr>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Softmax</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σ(z)_i = e^{z_i} / ∑_j e^{z_j}</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(0, 1)</w:t>
            </w:r>
          </w:p>
        </w:tc>
        <w:tc>
          <w:tcPr>
            <w:tcW w:type="dxa" w:w="3456"/>
            <w:tcMar>
              <w:top w:w="50" w:type="dxa"/>
              <w:bottom w:w="50" w:type="dxa"/>
              <w:left w:w="80" w:type="dxa"/>
              <w:right w:w="80" w:type="dxa"/>
            </w:tcMar>
          </w:tcPr>
          <w:p>
            <w:pPr>
              <w:spacing w:before="10" w:after="10" w:line="252" w:lineRule="auto"/>
              <w:jc w:val="left"/>
            </w:pPr>
            <w:r>
              <w:rPr>
                <w:rFonts w:ascii="Times New Roman" w:hAnsi="Times New Roman"/>
                <w:color w:val="000000"/>
                <w:sz w:val="20"/>
              </w:rPr>
              <w:t>Multi-class probability distribution normalization across output logits.</w:t>
            </w:r>
          </w:p>
        </w:tc>
      </w:tr>
    </w:tbl>
    <w:p>
      <w:pPr>
        <w:spacing w:before="0" w:after="120"/>
      </w:pPr>
    </w:p>
    <w:p>
      <w:pPr>
        <w:keepNext/>
        <w:spacing w:before="180" w:after="60"/>
        <w:jc w:val="left"/>
      </w:pPr>
      <w:r>
        <w:rPr>
          <w:rFonts w:ascii="Times New Roman" w:hAnsi="Times New Roman"/>
          <w:b/>
          <w:color w:val="000000"/>
          <w:sz w:val="24"/>
        </w:rPr>
        <w:t>2.4.2 Backpropagation and Gradient Descent Optimization</w:t>
      </w:r>
    </w:p>
    <w:p>
      <w:pPr>
        <w:spacing w:before="0" w:after="100" w:line="348" w:lineRule="auto"/>
        <w:jc w:val="both"/>
      </w:pPr>
      <w:r>
        <w:rPr>
          <w:rFonts w:ascii="Times New Roman" w:hAnsi="Times New Roman"/>
          <w:color w:val="000000"/>
          <w:sz w:val="24"/>
        </w:rPr>
        <w:t>Deep networks are trained by computing the partial derivatives of an empirical loss function L with respect to all trainable weights W and biases b using the multivariate chain rule:</w:t>
        <w:br/>
        <w:t xml:space="preserve">   ∂L / ∂W^{[l]} = (∂L / ∂z^{[l]}) · (a^{[l-1]})^T</w:t>
        <w:br/>
        <w:t xml:space="preserve">   ∂L / ∂z^{[l-1]} = (W^{[l]})^T (∂L / ∂z^{[l]}) ⊙ g'^{[l-1]}(z^{[l-1]})</w:t>
      </w:r>
    </w:p>
    <w:p>
      <w:pPr>
        <w:spacing w:before="0" w:after="100" w:line="348" w:lineRule="auto"/>
        <w:jc w:val="both"/>
      </w:pPr>
      <w:r>
        <w:rPr>
          <w:rFonts w:ascii="Times New Roman" w:hAnsi="Times New Roman"/>
          <w:color w:val="000000"/>
          <w:sz w:val="24"/>
        </w:rPr>
        <w:t>Weight updates are governed by advanced optimizers, notably Adam (Adaptive Moment Estimation) and AdamW (which decouples L2 weight decay from gradient moment accumulation), maintaining exponential moving averages of first (m_t) and second (v_t) gradient moments.</w:t>
      </w:r>
    </w:p>
    <w:p>
      <w:pPr>
        <w:keepNext/>
        <w:spacing w:before="180" w:after="60"/>
        <w:jc w:val="left"/>
      </w:pPr>
      <w:r>
        <w:rPr>
          <w:rFonts w:ascii="Times New Roman" w:hAnsi="Times New Roman"/>
          <w:b/>
          <w:color w:val="000000"/>
          <w:sz w:val="24"/>
        </w:rPr>
        <w:t>2.4.3 Convolutional Neural Networks (CNNs) and 1D-ResNets</w:t>
      </w:r>
    </w:p>
    <w:p>
      <w:pPr>
        <w:spacing w:before="0" w:after="100" w:line="348" w:lineRule="auto"/>
        <w:jc w:val="both"/>
      </w:pPr>
      <w:r>
        <w:rPr>
          <w:rFonts w:ascii="Times New Roman" w:hAnsi="Times New Roman"/>
          <w:color w:val="000000"/>
          <w:sz w:val="24"/>
        </w:rPr>
        <w:t>Convolutional Neural Networks utilize discrete convolution kernels that slide across spatial or temporal dimensions, enforcing local connectivity and translation invariance. For 1D physiological time-series x ∈ R^{T × C_{in}}, the 1D convolution produces feature maps:</w:t>
        <w:br/>
        <w:t xml:space="preserve">   y_k(t) = ∑_{c=1}^{C_{in}} ∑_{τ=-K/2}^{K/2} x_c(t + τ) · w_{k,c}(τ) + b_k</w:t>
      </w:r>
    </w:p>
    <w:p>
      <w:pPr>
        <w:spacing w:before="0" w:after="100" w:line="348" w:lineRule="auto"/>
        <w:jc w:val="both"/>
      </w:pPr>
      <w:r>
        <w:rPr>
          <w:rFonts w:ascii="Times New Roman" w:hAnsi="Times New Roman"/>
          <w:color w:val="000000"/>
          <w:sz w:val="24"/>
        </w:rPr>
        <w:t>To train deep architectures without gradient degradation, Deep Residual Networks (ResNets) introduce identity shortcut connections:</w:t>
        <w:br/>
        <w:t xml:space="preserve">   y = F(x, {W_i}) + x</w:t>
      </w:r>
    </w:p>
    <w:p>
      <w:pPr>
        <w:spacing w:before="0" w:after="100" w:line="348" w:lineRule="auto"/>
        <w:jc w:val="both"/>
      </w:pPr>
      <w:r>
        <w:rPr>
          <w:rFonts w:ascii="Times New Roman" w:hAnsi="Times New Roman"/>
          <w:color w:val="000000"/>
          <w:sz w:val="24"/>
        </w:rPr>
        <w:t>These residual pathways allow gradients to flow directly through the identity mappings during backpropagation, enabling effective feature extraction across deep multi-layer backbones.</w:t>
      </w:r>
    </w:p>
    <w:p>
      <w:pPr>
        <w:keepNext/>
        <w:spacing w:before="180" w:after="60"/>
        <w:jc w:val="left"/>
      </w:pPr>
      <w:r>
        <w:rPr>
          <w:rFonts w:ascii="Times New Roman" w:hAnsi="Times New Roman"/>
          <w:b/>
          <w:color w:val="000000"/>
          <w:sz w:val="24"/>
        </w:rPr>
        <w:t>2.4.4 Recurrent Neural Networks (RNN), LSTM, and BiGRU</w:t>
      </w:r>
    </w:p>
    <w:p>
      <w:pPr>
        <w:spacing w:before="0" w:after="100" w:line="348" w:lineRule="auto"/>
        <w:jc w:val="both"/>
      </w:pPr>
      <w:r>
        <w:rPr>
          <w:rFonts w:ascii="Times New Roman" w:hAnsi="Times New Roman"/>
          <w:color w:val="000000"/>
          <w:sz w:val="24"/>
        </w:rPr>
        <w:t>Standard feedforward networks lack temporal memory. Recurrent Neural Networks (RNNs) maintain an internal hidden state h_t = tanh(W_{hh} h_{t-1} + W_{xh} x_t + b_h). However, standard RNNs suffer from vanishing and exploding gradients over long temporal sequences.</w:t>
      </w:r>
    </w:p>
    <w:p>
      <w:pPr>
        <w:spacing w:before="0" w:after="100" w:line="348" w:lineRule="auto"/>
        <w:jc w:val="both"/>
      </w:pPr>
      <w:r>
        <w:rPr>
          <w:rFonts w:ascii="Times New Roman" w:hAnsi="Times New Roman"/>
          <w:color w:val="000000"/>
          <w:sz w:val="24"/>
        </w:rPr>
        <w:t>Long Short-Term Memory (LSTM) networks overcome this via specialized gating units: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Forget Gate: f_t = σ(W_f · [h_{t-1}, x_t] + b_f) — decides what information to discard from the cell state.</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Input Gate: i_t = σ(W_i · [h_{t-1}, x_t] + b_i) and Candidate: C̃_t = tanh(W_c · [h_{t-1}, x_t] + b_c) — regulates new information.</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Cell State Update: C_t = f_t ⊙ C_{t-1} + i_t ⊙ C̃_t — linear error carousel preserving long-term gradient flow.</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Output Gate: o_t = σ(W_o · [h_{t-1}, x_t] + b_o) and Hidden State: h_t = o_t ⊙ tanh(C_t).</w:t>
      </w:r>
    </w:p>
    <w:p>
      <w:pPr>
        <w:spacing w:before="0" w:after="100" w:line="348" w:lineRule="auto"/>
        <w:jc w:val="both"/>
      </w:pPr>
      <w:r>
        <w:rPr>
          <w:rFonts w:ascii="Times New Roman" w:hAnsi="Times New Roman"/>
          <w:color w:val="000000"/>
          <w:sz w:val="24"/>
        </w:rPr>
        <w:t>Bidirectional Gated Recurrent Units (BiGRU) streamline the LSTM architecture into two gates (Reset r_t and Update z_t) and execute both forward and backward temporal passes, concatenating directional hidden states h_t = [h⃗_t; h⃖_t] to capture bidirectional context.</w:t>
      </w:r>
    </w:p>
    <w:p>
      <w:pPr>
        <w:keepNext/>
        <w:spacing w:before="180" w:after="60"/>
        <w:jc w:val="left"/>
      </w:pPr>
      <w:r>
        <w:rPr>
          <w:rFonts w:ascii="Times New Roman" w:hAnsi="Times New Roman"/>
          <w:b/>
          <w:color w:val="000000"/>
          <w:sz w:val="24"/>
        </w:rPr>
        <w:t>2.4.5 Self-Attention and Multi-Head Attention (MHSA)</w:t>
      </w:r>
    </w:p>
    <w:p>
      <w:pPr>
        <w:spacing w:before="0" w:after="100" w:line="348" w:lineRule="auto"/>
        <w:jc w:val="both"/>
      </w:pPr>
      <w:r>
        <w:rPr>
          <w:rFonts w:ascii="Times New Roman" w:hAnsi="Times New Roman"/>
          <w:color w:val="000000"/>
          <w:sz w:val="24"/>
        </w:rPr>
        <w:t>While recurrent layers process tokens sequentially, Self-Attention mechanisms compute direct pairwise associations across all time steps. Given query (Q), key (K), and value (V) matrices projected from input embeddings, the Scaled Dot-Product Attention is computed as:</w:t>
        <w:br/>
        <w:t xml:space="preserve">   Attention(Q, K, V) = softmax( (Q K^T) / √d_k ) · V</w:t>
      </w:r>
    </w:p>
    <w:p>
      <w:pPr>
        <w:spacing w:before="0" w:after="100" w:line="348" w:lineRule="auto"/>
        <w:jc w:val="both"/>
      </w:pPr>
      <w:r>
        <w:rPr>
          <w:rFonts w:ascii="Times New Roman" w:hAnsi="Times New Roman"/>
          <w:color w:val="000000"/>
          <w:sz w:val="24"/>
        </w:rPr>
        <w:t>Multi-Head Self-Attention (MHSA) extends this by projecting inputs into h distinct representation subspaces, allowing the model to simultaneously attend to systolic rise phases, dicrotic reflections, and global baseline variations.</w:t>
      </w:r>
    </w:p>
    <w:p>
      <w:pPr>
        <w:keepNext/>
        <w:spacing w:before="240" w:after="80"/>
        <w:jc w:val="left"/>
      </w:pPr>
      <w:r>
        <w:rPr>
          <w:rFonts w:ascii="Times New Roman" w:hAnsi="Times New Roman"/>
          <w:b/>
          <w:color w:val="000000"/>
          <w:sz w:val="26"/>
        </w:rPr>
        <w:t>2.5 Advanced AI Frontiers: NLP, Transformers, RAG &amp; Agentic Systems</w:t>
      </w:r>
    </w:p>
    <w:p>
      <w:pPr>
        <w:spacing w:before="0" w:after="100" w:line="348" w:lineRule="auto"/>
        <w:jc w:val="both"/>
      </w:pPr>
      <w:r>
        <w:rPr>
          <w:rFonts w:ascii="Times New Roman" w:hAnsi="Times New Roman"/>
          <w:color w:val="000000"/>
          <w:sz w:val="24"/>
        </w:rPr>
        <w:t>The training program encompassed cutting-edge developments in Natural Language Processing (NLP), generative foundation models, vector embeddings, and autonomous agent orchestration.</w:t>
      </w:r>
    </w:p>
    <w:p>
      <w:pPr>
        <w:keepNext/>
        <w:spacing w:before="180" w:after="60"/>
        <w:jc w:val="left"/>
      </w:pPr>
      <w:r>
        <w:rPr>
          <w:rFonts w:ascii="Times New Roman" w:hAnsi="Times New Roman"/>
          <w:b/>
          <w:color w:val="000000"/>
          <w:sz w:val="24"/>
        </w:rPr>
        <w:t>2.5.1 NLP Fundamentals, NLTK, and Distributed Word Representations</w:t>
      </w:r>
    </w:p>
    <w:p>
      <w:pPr>
        <w:spacing w:before="0" w:after="100" w:line="348" w:lineRule="auto"/>
        <w:jc w:val="both"/>
      </w:pPr>
      <w:r>
        <w:rPr>
          <w:rFonts w:ascii="Times New Roman" w:hAnsi="Times New Roman"/>
          <w:color w:val="000000"/>
          <w:sz w:val="24"/>
        </w:rPr>
        <w:t>Text processing pipelines employ tokenization, stop-word elimination, stemming, and lemmatization (using NLTK). To transform discrete lexical tokens into continuous vector spaces, distributed representations were explored:</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Word2Vec: Continuous Bag-of-Words (CBOW) predicts a target word from context tokens, while Continuous Skip-Gram predicts context tokens from a center word using negative sampling optimization.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GloVe (Global Vectors): Factorizes global word-word co-occurrence matrix log-probabilities to capture linear substructures in semantic vector spaces.</w:t>
      </w:r>
    </w:p>
    <w:p>
      <w:pPr>
        <w:keepNext/>
        <w:spacing w:before="180" w:after="60"/>
        <w:jc w:val="left"/>
      </w:pPr>
      <w:r>
        <w:rPr>
          <w:rFonts w:ascii="Times New Roman" w:hAnsi="Times New Roman"/>
          <w:b/>
          <w:color w:val="000000"/>
          <w:sz w:val="24"/>
        </w:rPr>
        <w:t>2.5.2 Transformers, Encoders, and Large Language Models (LLMs)</w:t>
      </w:r>
    </w:p>
    <w:p>
      <w:pPr>
        <w:spacing w:before="0" w:after="100" w:line="348" w:lineRule="auto"/>
        <w:jc w:val="both"/>
      </w:pPr>
      <w:r>
        <w:rPr>
          <w:rFonts w:ascii="Times New Roman" w:hAnsi="Times New Roman"/>
          <w:color w:val="000000"/>
          <w:sz w:val="24"/>
        </w:rPr>
        <w:t>The Transformer architecture replaces recurrent connections entirely with multi-head attention and positional encodings. Bidirectional encoder models (e.g., BERT) generate contextual embeddings for semantic understanding, while autoregressive causal decoders (e.g., GPT family, LLaMA) power generative reasoning. Fine-tuning open models via Parameter-Efficient Fine-Tuning (PEFT/LoRA) adapts large models to domain-specific biomedical tasks with low GPU compute.</w:t>
      </w:r>
    </w:p>
    <w:p>
      <w:pPr>
        <w:keepNext/>
        <w:spacing w:before="180" w:after="60"/>
        <w:jc w:val="left"/>
      </w:pPr>
      <w:r>
        <w:rPr>
          <w:rFonts w:ascii="Times New Roman" w:hAnsi="Times New Roman"/>
          <w:b/>
          <w:color w:val="000000"/>
          <w:sz w:val="24"/>
        </w:rPr>
        <w:t>2.5.3 Retrieval-Augmented Generation (RAG) Architecture</w:t>
      </w:r>
    </w:p>
    <w:p>
      <w:pPr>
        <w:spacing w:before="0" w:after="100" w:line="348" w:lineRule="auto"/>
        <w:jc w:val="both"/>
      </w:pPr>
      <w:r>
        <w:rPr>
          <w:rFonts w:ascii="Times New Roman" w:hAnsi="Times New Roman"/>
          <w:color w:val="000000"/>
          <w:sz w:val="24"/>
        </w:rPr>
        <w:t>Retrieval-Augmented Generation (RAG) mitigates hallucination in generative models by dynamically retrieving relevant factual documents from an external vector index. Given an input query, embedding models project the text into a latent embedding space, where Cosine Similarity:</w:t>
        <w:br/>
        <w:t xml:space="preserve">   cos(θ) = (u · v) / (||u||_2 · ||v||_2)</w:t>
        <w:br/>
        <w:t>identifies top-k nearest semantic chunks. The retrieved knowledge is injected into the LLM context prompt, enabling grounded, traceable, and up-to-date responses.</w:t>
      </w:r>
    </w:p>
    <w:p>
      <w:pPr>
        <w:keepNext/>
        <w:spacing w:before="180" w:after="60"/>
        <w:jc w:val="left"/>
      </w:pPr>
      <w:r>
        <w:rPr>
          <w:rFonts w:ascii="Times New Roman" w:hAnsi="Times New Roman"/>
          <w:b/>
          <w:color w:val="000000"/>
          <w:sz w:val="24"/>
        </w:rPr>
        <w:t>2.5.4 Agentic AI Systems, Tools, JSON Schemas, and Model Context Protocol (MCP)</w:t>
      </w:r>
    </w:p>
    <w:p>
      <w:pPr>
        <w:spacing w:before="0" w:after="100" w:line="348" w:lineRule="auto"/>
        <w:jc w:val="both"/>
      </w:pPr>
      <w:r>
        <w:rPr>
          <w:rFonts w:ascii="Times New Roman" w:hAnsi="Times New Roman"/>
          <w:color w:val="000000"/>
          <w:sz w:val="24"/>
        </w:rPr>
        <w:t>Agentic AI transitions language models from passive text generators into autonomous decision-making agents capable of multi-step planning, tool invocation, environment inspection, and iterative problem solving:</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Reasoning Loops (ReAct Paradigm): Agents interleave Thought (reasoning), Action (tool call), and Observation (environment feedback) cycles to resolve complex engineering tasks.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Structured Tool Calling via JSON Schemas: External function specifications and API contracts are declared via strict JSON schemas, allowing models to emit validated JSON arguments.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Model Context Protocol (MCP): An open architectural standard defining how AI clients, IDEs, and agents discover, connect to, and execute external tools, file repositories, and context servers.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Framework Orchestration (LangChain): Provides modular abstractions for chaining prompts, memory buffers, vector retrieval chains, and autonomous multi-agent systems.</w:t>
      </w:r>
    </w:p>
    <w:p>
      <w:r>
        <w:br w:type="page"/>
      </w:r>
    </w:p>
    <w:p>
      <w:pPr>
        <w:keepNext/>
        <w:spacing w:before="320" w:after="60"/>
        <w:jc w:val="center"/>
      </w:pPr>
      <w:r>
        <w:rPr>
          <w:rFonts w:ascii="Times New Roman" w:hAnsi="Times New Roman"/>
          <w:b/>
          <w:color w:val="000000"/>
          <w:sz w:val="30"/>
        </w:rPr>
        <w:t>CHAPTER-03</w:t>
      </w:r>
    </w:p>
    <w:p>
      <w:pPr>
        <w:keepNext/>
        <w:spacing w:before="60" w:after="280"/>
        <w:jc w:val="center"/>
      </w:pPr>
      <w:r>
        <w:rPr>
          <w:rFonts w:ascii="Times New Roman" w:hAnsi="Times New Roman"/>
          <w:b/>
          <w:color w:val="000000"/>
          <w:sz w:val="30"/>
        </w:rPr>
        <w:t>LITERATURE REVIEW &amp; BIOMEDICAL SIGNAL ANALYSIS</w:t>
      </w:r>
    </w:p>
    <w:p>
      <w:pPr>
        <w:spacing w:before="0" w:after="100" w:line="348" w:lineRule="auto"/>
        <w:jc w:val="both"/>
      </w:pPr>
      <w:r>
        <w:rPr>
          <w:rFonts w:ascii="Times New Roman" w:hAnsi="Times New Roman"/>
          <w:color w:val="000000"/>
          <w:sz w:val="24"/>
        </w:rPr>
        <w:t>Continuous, cuffless blood pressure measurement represents one of the most active frontiers in biomedical signal processing and digital cardiology. This chapter presents a systematic review of the physiological mechanisms governing arterial blood pressure, the optical physics of remote photoplethysmography (rPPG), classical and deep learning signal extraction pipelines, a comparative analysis of existing studies, and a formal synthesis of open research bottlenecks that motivate the LuminaBP architecture.</w:t>
      </w:r>
    </w:p>
    <w:p>
      <w:pPr>
        <w:keepNext/>
        <w:spacing w:before="240" w:after="80"/>
        <w:jc w:val="left"/>
      </w:pPr>
      <w:r>
        <w:rPr>
          <w:rFonts w:ascii="Times New Roman" w:hAnsi="Times New Roman"/>
          <w:b/>
          <w:color w:val="000000"/>
          <w:sz w:val="26"/>
        </w:rPr>
        <w:t>3.1 Physiological Mechanisms of Blood Pressure Regulation</w:t>
      </w:r>
    </w:p>
    <w:p>
      <w:pPr>
        <w:spacing w:before="0" w:after="100" w:line="348" w:lineRule="auto"/>
        <w:jc w:val="both"/>
      </w:pPr>
      <w:r>
        <w:rPr>
          <w:rFonts w:ascii="Times New Roman" w:hAnsi="Times New Roman"/>
          <w:color w:val="000000"/>
          <w:sz w:val="24"/>
        </w:rPr>
        <w:t>Arterial blood pressure (BP) is the lateral hydrostatic force exerted by circulating blood against the intraluminal walls of systemic arteries during the cardiac cycle. It is characterized by two primary physiological indices: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Systolic Blood Pressure (SBP): The maximal peak arterial pressure attained during left ventricular contraction (systole), driven primarily by stroke volume, myocardial contractility, and proximal aortic compliance.</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Diastolic Blood Pressure (DBP): The minimum arterial pressure reached during ventricular relaxation and filling (diastole), determined predominantly by total peripheral resistance (TPR) of the distal arteriolar bed and heart rate.</w:t>
      </w:r>
    </w:p>
    <w:p>
      <w:pPr>
        <w:spacing w:before="0" w:after="100" w:line="348" w:lineRule="auto"/>
        <w:jc w:val="both"/>
      </w:pPr>
      <w:r>
        <w:rPr>
          <w:rFonts w:ascii="Times New Roman" w:hAnsi="Times New Roman"/>
          <w:color w:val="000000"/>
          <w:sz w:val="24"/>
        </w:rPr>
        <w:t>Mean Arterial Pressure (MAP) represents the time-weighted average perfusion pressure across a cardiac cycle, approximated as:</w:t>
        <w:br/>
        <w:t xml:space="preserve">   MAP = DBP + (1/3) · (SBP - DBP)</w:t>
      </w:r>
    </w:p>
    <w:p>
      <w:pPr>
        <w:keepNext/>
        <w:spacing w:before="180" w:after="60"/>
        <w:jc w:val="left"/>
      </w:pPr>
      <w:r>
        <w:rPr>
          <w:rFonts w:ascii="Times New Roman" w:hAnsi="Times New Roman"/>
          <w:b/>
          <w:color w:val="000000"/>
          <w:sz w:val="24"/>
        </w:rPr>
        <w:t>3.1.1 The Arterial Windkessel Model &amp; Capillary Viscoelastic Damping</w:t>
      </w:r>
    </w:p>
    <w:p>
      <w:pPr>
        <w:spacing w:before="0" w:after="100" w:line="348" w:lineRule="auto"/>
        <w:jc w:val="both"/>
      </w:pPr>
      <w:r>
        <w:rPr>
          <w:rFonts w:ascii="Times New Roman" w:hAnsi="Times New Roman"/>
          <w:color w:val="000000"/>
          <w:sz w:val="24"/>
        </w:rPr>
        <w:t>The cardiovascular system is mathematically modeled using the Windkessel formulation. The proximal elastic aorta acts as a hydraulic capacitor (compliance C) that absorbs high-pressure pulsatile energy during systole and smoothly discharges blood into the resistive distal microvasculature (resistance R) during diastole.</w:t>
      </w:r>
    </w:p>
    <w:p>
      <w:pPr>
        <w:spacing w:before="0" w:after="100" w:line="348" w:lineRule="auto"/>
        <w:jc w:val="both"/>
      </w:pPr>
      <w:r>
        <w:rPr>
          <w:rFonts w:ascii="Times New Roman" w:hAnsi="Times New Roman"/>
          <w:color w:val="000000"/>
          <w:sz w:val="24"/>
        </w:rPr>
        <w:t>A fundamental physiological barrier in facial optical sensing arises from vascular branching. While contact sensors on the finger or wrist measure pulse waveforms in muscular arteries containing prominent high-frequency features (such as the dicrotic notch reflecting aortic valve closure), facial video rPPG records light reflected from superficial capillary beds in the dermis. As the pressure pulse propagates through multiple arteriolar bifurcations, viscoelastic damping attenuates high-frequency harmonics by 10- to 100-fold. This phenomenon, termed the Capillary Windkessel Barrier, makes direct optical reconstruction of central aortic pressure waveforms from facial video exceptionally challenging.</w:t>
      </w:r>
    </w:p>
    <w:p>
      <w:pPr>
        <w:keepNext/>
        <w:spacing w:before="240" w:after="80"/>
        <w:jc w:val="left"/>
      </w:pPr>
      <w:r>
        <w:rPr>
          <w:rFonts w:ascii="Times New Roman" w:hAnsi="Times New Roman"/>
          <w:b/>
          <w:color w:val="000000"/>
          <w:sz w:val="26"/>
        </w:rPr>
        <w:t>3.2 Optical Foundations of Remote Photoplethysmography (rPPG)</w:t>
      </w:r>
    </w:p>
    <w:p>
      <w:pPr>
        <w:spacing w:before="0" w:after="100" w:line="348" w:lineRule="auto"/>
        <w:jc w:val="both"/>
      </w:pPr>
      <w:r>
        <w:rPr>
          <w:rFonts w:ascii="Times New Roman" w:hAnsi="Times New Roman"/>
          <w:color w:val="000000"/>
          <w:sz w:val="24"/>
        </w:rPr>
        <w:t>Remote photoplethysmography relies on the physical principles of light-tissue interaction. Human skin consists of the outer epidermis (containing melanin chromophores), the vascularized dermis (containing capillaries, arterioles, and venules filled with pulsating hemoglobin), and the subcutaneous adipose tissue.</w:t>
      </w:r>
    </w:p>
    <w:p>
      <w:pPr>
        <w:keepNext/>
        <w:spacing w:before="180" w:after="60"/>
        <w:jc w:val="left"/>
      </w:pPr>
      <w:r>
        <w:rPr>
          <w:rFonts w:ascii="Times New Roman" w:hAnsi="Times New Roman"/>
          <w:b/>
          <w:color w:val="000000"/>
          <w:sz w:val="24"/>
        </w:rPr>
        <w:t>3.2.1 Modified Beer-Lambert Law &amp; Dichromatic Reflection Model</w:t>
      </w:r>
    </w:p>
    <w:p>
      <w:pPr>
        <w:spacing w:before="0" w:after="100" w:line="348" w:lineRule="auto"/>
        <w:jc w:val="both"/>
      </w:pPr>
      <w:r>
        <w:rPr>
          <w:rFonts w:ascii="Times New Roman" w:hAnsi="Times New Roman"/>
          <w:color w:val="000000"/>
          <w:sz w:val="24"/>
        </w:rPr>
        <w:t>Light propagation through cutaneous tissue is governed by the Modified Beer-Lambert Law. The intensity of transmitted/reflected light I(λ, t) at wavelength λ is given by:</w:t>
        <w:br/>
        <w:t xml:space="preserve">   I(λ, t) = I_0(λ) · e^{-[ε_{HbO2}(λ)·C_{HbO2}(t) + ε_{HHb}(λ)·C_{HHb}(t)] · d(t) · DPF(λ) + G(λ)}</w:t>
      </w:r>
    </w:p>
    <w:p>
      <w:pPr>
        <w:spacing w:before="0" w:after="100" w:line="348" w:lineRule="auto"/>
        <w:jc w:val="both"/>
      </w:pPr>
      <w:r>
        <w:rPr>
          <w:rFonts w:ascii="Times New Roman" w:hAnsi="Times New Roman"/>
          <w:color w:val="000000"/>
          <w:sz w:val="24"/>
        </w:rPr>
        <w:t>where ε represents the molar extinction coefficients of oxyhemoglobin (HbO2) and deoxyhemoglobin (HHb), C(t) is blood concentration, d(t) is pulsatile optical path length, DPF(λ) is the differential path length factor, and G(λ) encapsulates static tissue scattering.</w:t>
      </w:r>
    </w:p>
    <w:p>
      <w:pPr>
        <w:spacing w:before="0" w:after="100" w:line="348" w:lineRule="auto"/>
        <w:jc w:val="both"/>
      </w:pPr>
      <w:r>
        <w:rPr>
          <w:rFonts w:ascii="Times New Roman" w:hAnsi="Times New Roman"/>
          <w:color w:val="000000"/>
          <w:sz w:val="24"/>
        </w:rPr>
        <w:t>According to Shafer's Dichromatic Reflection Model, the total light reflected from skin pixel c(t) = [R(t), G(t), B(t)]^T is divided into specular and diffuse components:</w:t>
        <w:br/>
        <w:t xml:space="preserve">   c(t) = c_s(t) + c_d(t) = I(t) · [m_s(t) · u_s + m_d(t) · u_d + p(t)]</w:t>
      </w:r>
    </w:p>
    <w:p>
      <w:pPr>
        <w:spacing w:before="0" w:after="100" w:line="348" w:lineRule="auto"/>
        <w:jc w:val="both"/>
      </w:pPr>
      <w:r>
        <w:rPr>
          <w:rFonts w:ascii="Times New Roman" w:hAnsi="Times New Roman"/>
          <w:color w:val="000000"/>
          <w:sz w:val="24"/>
        </w:rPr>
        <w:t>where u_s is the unit color vector of the illuminant (specular reflection from the stratum corneum, carrying zero physiological pulse information), u_d represents static skin tissue color, and p(t) represents the cardiac-synchronous blood volume pulse.</w:t>
      </w:r>
    </w:p>
    <w:p>
      <w:pPr>
        <w:spacing w:before="160" w:after="60"/>
        <w:jc w:val="center"/>
      </w:pPr>
      <w:r>
        <w:drawing>
          <wp:inline xmlns:a="http://schemas.openxmlformats.org/drawingml/2006/main" xmlns:pic="http://schemas.openxmlformats.org/drawingml/2006/picture">
            <wp:extent cx="5303520" cy="2005327"/>
            <wp:docPr id="2" name="Picture 2"/>
            <wp:cNvGraphicFramePr>
              <a:graphicFrameLocks noChangeAspect="1"/>
            </wp:cNvGraphicFramePr>
            <a:graphic>
              <a:graphicData uri="http://schemas.openxmlformats.org/drawingml/2006/picture">
                <pic:pic>
                  <pic:nvPicPr>
                    <pic:cNvPr id="0" name="fig_windkessel_damping.png"/>
                    <pic:cNvPicPr/>
                  </pic:nvPicPr>
                  <pic:blipFill>
                    <a:blip r:embed="rId14"/>
                    <a:stretch>
                      <a:fillRect/>
                    </a:stretch>
                  </pic:blipFill>
                  <pic:spPr>
                    <a:xfrm>
                      <a:off x="0" y="0"/>
                      <a:ext cx="5303520" cy="2005327"/>
                    </a:xfrm>
                    <a:prstGeom prst="rect"/>
                  </pic:spPr>
                </pic:pic>
              </a:graphicData>
            </a:graphic>
          </wp:inline>
        </w:drawing>
      </w:r>
    </w:p>
    <w:p>
      <w:pPr>
        <w:keepNext/>
        <w:spacing w:before="40" w:after="200"/>
        <w:jc w:val="center"/>
      </w:pPr>
      <w:r>
        <w:rPr>
          <w:rFonts w:ascii="Times New Roman" w:hAnsi="Times New Roman"/>
          <w:b/>
          <w:i/>
          <w:sz w:val="20"/>
        </w:rPr>
        <w:t xml:space="preserve">Figure 3.1: </w:t>
      </w:r>
      <w:r>
        <w:rPr>
          <w:rFonts w:ascii="Times New Roman" w:hAnsi="Times New Roman"/>
          <w:i/>
          <w:sz w:val="20"/>
        </w:rPr>
        <w:t>Physiological Capillary Windkessel Damping: Comparison of central aortic pressure wave, finger contact PPG with pronounced dicrotic notch, and facial rPPG with viscoelastic high-frequency attenuation.</w:t>
      </w:r>
    </w:p>
    <w:p>
      <w:pPr>
        <w:keepNext/>
        <w:spacing w:before="240" w:after="80"/>
        <w:jc w:val="left"/>
      </w:pPr>
      <w:r>
        <w:rPr>
          <w:rFonts w:ascii="Times New Roman" w:hAnsi="Times New Roman"/>
          <w:b/>
          <w:color w:val="000000"/>
          <w:sz w:val="26"/>
        </w:rPr>
        <w:t>3.3 Classical and Deep Learning rPPG Extraction Algorithms</w:t>
      </w:r>
    </w:p>
    <w:p>
      <w:pPr>
        <w:spacing w:before="0" w:after="100" w:line="348" w:lineRule="auto"/>
        <w:jc w:val="both"/>
      </w:pPr>
      <w:r>
        <w:rPr>
          <w:rFonts w:ascii="Times New Roman" w:hAnsi="Times New Roman"/>
          <w:color w:val="000000"/>
          <w:sz w:val="24"/>
        </w:rPr>
        <w:t>Over the past two decades, various algorithmic frameworks have been formulated to isolate the tiny pulsatile signal p(t) from overwhelming specular and motion artifacts: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Green Channel Averaging (Verkruysse et al., 2008): Exploits the absorption peak of hemoglobin in the green spectrum (~520–577 nm), but remains highly vulnerable to ambient illumination shifts.</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Independent Component Analysis (ICA - Poh et al., 2010): Applies blind source separation across normalized RGB channels to decompose sensor mixtures into statistically independent components.</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Chrominance-Based Method (CHROM - De Haan &amp; Jeanne, 2013): Constructs a standardized skin-color subspace by defining orthogonal chrominance signals X_s = 3R - 2G and Y_s = 1.5R + G - 1.5B, eliminating specular reflection under white illumination.</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Plane-Orthogonal-to-Skin (POS - Wang et al., 2017): Defines a plane orthogonal to the skin tone vector in normalized RGB space, calculating orthogonal projection signals and combining them via adaptive standard deviation weighting. POS demonstrates superior robustness to large motion and varying pigmentation.</w:t>
      </w:r>
    </w:p>
    <w:p>
      <w:pPr>
        <w:pStyle w:val="ListBullet"/>
        <w:spacing w:before="0" w:after="60" w:line="348" w:lineRule="auto"/>
        <w:ind w:left="317"/>
        <w:jc w:val="both"/>
      </w:pPr>
      <w:r>
        <w:rPr>
          <w:rFonts w:ascii="Times New Roman" w:hAnsi="Times New Roman"/>
          <w:b/>
          <w:color w:val="000000"/>
          <w:sz w:val="24"/>
        </w:rPr>
        <w:t xml:space="preserve">5. </w:t>
      </w:r>
      <w:r>
        <w:rPr>
          <w:rFonts w:ascii="Times New Roman" w:hAnsi="Times New Roman"/>
          <w:color w:val="000000"/>
          <w:sz w:val="24"/>
        </w:rPr>
        <w:t>Spatiotemporal Deep Learning Extractors (TS-CAN, MTTS-CAN - Chen &amp; McDuff, 2020): Employs temporal shift modules and attention mechanisms within 2D/3D CNNs to directly extract pulse waves from raw frame differences.</w:t>
      </w:r>
    </w:p>
    <w:p>
      <w:pPr>
        <w:keepNext/>
        <w:spacing w:before="240" w:after="80"/>
        <w:jc w:val="left"/>
      </w:pPr>
      <w:r>
        <w:rPr>
          <w:rFonts w:ascii="Times New Roman" w:hAnsi="Times New Roman"/>
          <w:b/>
          <w:color w:val="000000"/>
          <w:sz w:val="26"/>
        </w:rPr>
        <w:t>3.4 Deep Learning for Optical Blood Pressure Estimation</w:t>
      </w:r>
    </w:p>
    <w:p>
      <w:pPr>
        <w:spacing w:before="0" w:after="100" w:line="348" w:lineRule="auto"/>
        <w:jc w:val="both"/>
      </w:pPr>
      <w:r>
        <w:rPr>
          <w:rFonts w:ascii="Times New Roman" w:hAnsi="Times New Roman"/>
          <w:color w:val="000000"/>
          <w:sz w:val="24"/>
        </w:rPr>
        <w:t>Estimating arterial blood pressure from optical pulse waves is historically pursued via two main paradigms: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Pulse Transit Time (PTT) / Pulse Arrival Time (PAT): Measures the propagation delay of the arterial pressure pulse between two anatomical locations (e.g., ECG R-peak to finger PPG peak). While physically grounded via the Moens-Korteweg equation, PTT requires dual-sensor synchronization, undermining the single-camera non-contact paradigm.</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Pulse Wave Analysis (PWA) via Deep Learning: Extracts morphological, spectral, and temporal features from a single-site pulse waveform (e.g., systolic rise time, augmentation index, inflection area) to infer vascular compliance and peripheral resistance directly.</w:t>
      </w:r>
    </w:p>
    <w:p>
      <w:pPr>
        <w:spacing w:before="0" w:after="100" w:line="348" w:lineRule="auto"/>
        <w:jc w:val="both"/>
      </w:pPr>
      <w:r>
        <w:rPr>
          <w:rFonts w:ascii="Times New Roman" w:hAnsi="Times New Roman"/>
          <w:color w:val="000000"/>
          <w:sz w:val="24"/>
        </w:rPr>
        <w:t>Recent architectures leverage recurrent neural networks (LSTM, GRU), temporal convolutional networks (TCN), and Transformer models to capture continuous temporal dependencies from pulse wave sequences.</w:t>
      </w:r>
    </w:p>
    <w:p>
      <w:pPr>
        <w:keepNext/>
        <w:spacing w:before="240" w:after="80"/>
        <w:jc w:val="left"/>
      </w:pPr>
      <w:r>
        <w:rPr>
          <w:rFonts w:ascii="Times New Roman" w:hAnsi="Times New Roman"/>
          <w:b/>
          <w:color w:val="000000"/>
          <w:sz w:val="26"/>
        </w:rPr>
        <w:t>3.5 Comparative Analysis of Existing Studies</w:t>
      </w:r>
    </w:p>
    <w:p>
      <w:pPr>
        <w:spacing w:before="0" w:after="100" w:line="348" w:lineRule="auto"/>
        <w:jc w:val="both"/>
      </w:pPr>
      <w:r>
        <w:rPr>
          <w:rFonts w:ascii="Times New Roman" w:hAnsi="Times New Roman"/>
          <w:color w:val="000000"/>
          <w:sz w:val="24"/>
        </w:rPr>
        <w:t>Table 3.1 provides a systematic comparative summary of key state-of-the-art literature in optical blood pressure and vital sign monitoring, summarizing sensing modalities, neural architectures, benchmark datasets, achieved accuracies, and structural limitations.</w:t>
      </w:r>
    </w:p>
    <w:p>
      <w:pPr>
        <w:keepNext/>
        <w:spacing w:before="200" w:after="60"/>
        <w:jc w:val="center"/>
      </w:pPr>
      <w:r>
        <w:rPr>
          <w:rFonts w:ascii="Times New Roman" w:hAnsi="Times New Roman"/>
          <w:b/>
          <w:sz w:val="23"/>
        </w:rPr>
        <w:t xml:space="preserve">Table 3.1: </w:t>
      </w:r>
      <w:r>
        <w:rPr>
          <w:rFonts w:ascii="Times New Roman" w:hAnsi="Times New Roman"/>
          <w:b/>
          <w:sz w:val="23"/>
        </w:rPr>
        <w:t>Comparative Analysis of State-of-the-Art Optical Blood Pressure Estimation Systems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234"/>
        <w:gridCol w:w="1234"/>
        <w:gridCol w:w="1234"/>
        <w:gridCol w:w="1234"/>
        <w:gridCol w:w="1234"/>
        <w:gridCol w:w="1234"/>
        <w:gridCol w:w="1234"/>
      </w:tblGrid>
      <w:tr>
        <w:trPr>
          <w:cantSplit/>
          <w:tblHeader/>
        </w:trPr>
        <w:tc>
          <w:tcPr>
            <w:tcW w:type="dxa" w:w="158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Study &amp; Authors</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Modality</w:t>
            </w:r>
          </w:p>
        </w:tc>
        <w:tc>
          <w:tcPr>
            <w:tcW w:type="dxa" w:w="201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Model Architecture</w:t>
            </w:r>
          </w:p>
        </w:tc>
        <w:tc>
          <w:tcPr>
            <w:tcW w:type="dxa" w:w="172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Dataset / Subjects</w:t>
            </w:r>
          </w:p>
        </w:tc>
        <w:tc>
          <w:tcPr>
            <w:tcW w:type="dxa" w:w="100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SBP MAE</w:t>
            </w:r>
          </w:p>
        </w:tc>
        <w:tc>
          <w:tcPr>
            <w:tcW w:type="dxa" w:w="100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DBP MAE</w:t>
            </w:r>
          </w:p>
        </w:tc>
        <w:tc>
          <w:tcPr>
            <w:tcW w:type="dxa" w:w="187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Key Limitations</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Chen et al. (2021)</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Contact PPG</w:t>
            </w:r>
          </w:p>
        </w:tc>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Random Forest Regressor</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MIMIC-II (53 Sub.)</w:t>
            </w:r>
          </w:p>
        </w:tc>
        <w:tc>
          <w:tcPr>
            <w:tcW w:type="dxa" w:w="1008"/>
            <w:tcMar>
              <w:top w:w="50" w:type="dxa"/>
              <w:bottom w:w="50" w:type="dxa"/>
              <w:left w:w="80" w:type="dxa"/>
              <w:right w:w="80" w:type="dxa"/>
            </w:tcMar>
          </w:tcPr>
          <w:p>
            <w:pPr>
              <w:spacing w:before="10" w:after="10" w:line="252" w:lineRule="auto"/>
              <w:jc w:val="center"/>
            </w:pPr>
            <w:r>
              <w:rPr>
                <w:rFonts w:ascii="Times New Roman" w:hAnsi="Times New Roman"/>
                <w:color w:val="000000"/>
                <w:sz w:val="20"/>
              </w:rPr>
              <w:t>4.21 mmHg</w:t>
            </w:r>
          </w:p>
        </w:tc>
        <w:tc>
          <w:tcPr>
            <w:tcW w:type="dxa" w:w="1008"/>
            <w:tcMar>
              <w:top w:w="50" w:type="dxa"/>
              <w:bottom w:w="50" w:type="dxa"/>
              <w:left w:w="80" w:type="dxa"/>
              <w:right w:w="80" w:type="dxa"/>
            </w:tcMar>
          </w:tcPr>
          <w:p>
            <w:pPr>
              <w:spacing w:before="10" w:after="10" w:line="252" w:lineRule="auto"/>
              <w:jc w:val="center"/>
            </w:pPr>
            <w:r>
              <w:rPr>
                <w:rFonts w:ascii="Times New Roman" w:hAnsi="Times New Roman"/>
                <w:color w:val="000000"/>
                <w:sz w:val="20"/>
              </w:rPr>
              <w:t>2.35 mmHg</w:t>
            </w:r>
          </w:p>
        </w:tc>
        <w:tc>
          <w:tcPr>
            <w:tcW w:type="dxa" w:w="1872"/>
            <w:tcMar>
              <w:top w:w="50" w:type="dxa"/>
              <w:bottom w:w="50" w:type="dxa"/>
              <w:left w:w="80" w:type="dxa"/>
              <w:right w:w="80" w:type="dxa"/>
            </w:tcMar>
          </w:tcPr>
          <w:p>
            <w:pPr>
              <w:spacing w:before="10" w:after="10" w:line="252" w:lineRule="auto"/>
              <w:jc w:val="left"/>
            </w:pPr>
            <w:r>
              <w:rPr>
                <w:rFonts w:ascii="Times New Roman" w:hAnsi="Times New Roman"/>
                <w:color w:val="000000"/>
                <w:sz w:val="20"/>
              </w:rPr>
              <w:t>Contact sensor only; window-level split caused severe data leakage.</w:t>
            </w:r>
          </w:p>
        </w:tc>
      </w:tr>
      <w:tr>
        <w:trPr>
          <w:cantSplit/>
        </w:trPr>
        <w:tc>
          <w:tcPr>
            <w:tcW w:type="dxa" w:w="15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Gupta et al. (2022)</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Contact PPG</w:t>
            </w:r>
          </w:p>
        </w:tc>
        <w:tc>
          <w:tcPr>
            <w:tcW w:type="dxa" w:w="201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Higher-Order Derivatives + SVR</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MIMIC-III (100 Sub.)</w:t>
            </w:r>
          </w:p>
        </w:tc>
        <w:tc>
          <w:tcPr>
            <w:tcW w:type="dxa" w:w="100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5.82 mmHg</w:t>
            </w:r>
          </w:p>
        </w:tc>
        <w:tc>
          <w:tcPr>
            <w:tcW w:type="dxa" w:w="100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3.41 mmHg</w:t>
            </w:r>
          </w:p>
        </w:tc>
        <w:tc>
          <w:tcPr>
            <w:tcW w:type="dxa" w:w="187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Relies on sharp contact dicrotic notch; fails on attenuated rPPG.</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Hwang et al. (2024)</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Facial rPPG</w:t>
            </w:r>
          </w:p>
        </w:tc>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Phase-Shifted DRP-Net</w:t>
            </w:r>
          </w:p>
        </w:tc>
        <w:tc>
          <w:tcPr>
            <w:tcW w:type="dxa" w:w="1728"/>
            <w:tcMar>
              <w:top w:w="50" w:type="dxa"/>
              <w:bottom w:w="50" w:type="dxa"/>
              <w:left w:w="80" w:type="dxa"/>
              <w:right w:w="80" w:type="dxa"/>
            </w:tcMar>
          </w:tcPr>
          <w:p>
            <w:pPr>
              <w:spacing w:before="10" w:after="10" w:line="252" w:lineRule="auto"/>
              <w:jc w:val="left"/>
            </w:pPr>
            <w:r>
              <w:rPr>
                <w:rFonts w:ascii="Times New Roman" w:hAnsi="Times New Roman"/>
                <w:color w:val="000000"/>
                <w:sz w:val="20"/>
              </w:rPr>
              <w:t>Local Cohort (42 Sub.)</w:t>
            </w:r>
          </w:p>
        </w:tc>
        <w:tc>
          <w:tcPr>
            <w:tcW w:type="dxa" w:w="1008"/>
            <w:tcMar>
              <w:top w:w="50" w:type="dxa"/>
              <w:bottom w:w="50" w:type="dxa"/>
              <w:left w:w="80" w:type="dxa"/>
              <w:right w:w="80" w:type="dxa"/>
            </w:tcMar>
          </w:tcPr>
          <w:p>
            <w:pPr>
              <w:spacing w:before="10" w:after="10" w:line="252" w:lineRule="auto"/>
              <w:jc w:val="center"/>
            </w:pPr>
            <w:r>
              <w:rPr>
                <w:rFonts w:ascii="Times New Roman" w:hAnsi="Times New Roman"/>
                <w:color w:val="000000"/>
                <w:sz w:val="20"/>
              </w:rPr>
              <w:t>12.40 mmHg</w:t>
            </w:r>
          </w:p>
        </w:tc>
        <w:tc>
          <w:tcPr>
            <w:tcW w:type="dxa" w:w="1008"/>
            <w:tcMar>
              <w:top w:w="50" w:type="dxa"/>
              <w:bottom w:w="50" w:type="dxa"/>
              <w:left w:w="80" w:type="dxa"/>
              <w:right w:w="80" w:type="dxa"/>
            </w:tcMar>
          </w:tcPr>
          <w:p>
            <w:pPr>
              <w:spacing w:before="10" w:after="10" w:line="252" w:lineRule="auto"/>
              <w:jc w:val="center"/>
            </w:pPr>
            <w:r>
              <w:rPr>
                <w:rFonts w:ascii="Times New Roman" w:hAnsi="Times New Roman"/>
                <w:color w:val="000000"/>
                <w:sz w:val="20"/>
              </w:rPr>
              <w:t>8.90 mmHg</w:t>
            </w:r>
          </w:p>
        </w:tc>
        <w:tc>
          <w:tcPr>
            <w:tcW w:type="dxa" w:w="1872"/>
            <w:tcMar>
              <w:top w:w="50" w:type="dxa"/>
              <w:bottom w:w="50" w:type="dxa"/>
              <w:left w:w="80" w:type="dxa"/>
              <w:right w:w="80" w:type="dxa"/>
            </w:tcMar>
          </w:tcPr>
          <w:p>
            <w:pPr>
              <w:spacing w:before="10" w:after="10" w:line="252" w:lineRule="auto"/>
              <w:jc w:val="left"/>
            </w:pPr>
            <w:r>
              <w:rPr>
                <w:rFonts w:ascii="Times New Roman" w:hAnsi="Times New Roman"/>
                <w:color w:val="000000"/>
                <w:sz w:val="20"/>
              </w:rPr>
              <w:t>Dual-camera setup required; small private cohort with limited diversity.</w:t>
            </w:r>
          </w:p>
        </w:tc>
      </w:tr>
      <w:tr>
        <w:trPr>
          <w:cantSplit/>
        </w:trPr>
        <w:tc>
          <w:tcPr>
            <w:tcW w:type="dxa" w:w="15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Saikia et al. (2026)</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Facial rPPG</w:t>
            </w:r>
          </w:p>
        </w:tc>
        <w:tc>
          <w:tcPr>
            <w:tcW w:type="dxa" w:w="201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ALIVE CNN-LSTM Baseline</w:t>
            </w:r>
          </w:p>
        </w:tc>
        <w:tc>
          <w:tcPr>
            <w:tcW w:type="dxa" w:w="172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BP-rPPG Dataset (110 Sub.)</w:t>
            </w:r>
          </w:p>
        </w:tc>
        <w:tc>
          <w:tcPr>
            <w:tcW w:type="dxa" w:w="100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11.20 mmHg</w:t>
            </w:r>
          </w:p>
        </w:tc>
        <w:tc>
          <w:tcPr>
            <w:tcW w:type="dxa" w:w="100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7.60 mmHg</w:t>
            </w:r>
          </w:p>
        </w:tc>
        <w:tc>
          <w:tcPr>
            <w:tcW w:type="dxa" w:w="187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Shared regression head caused gradient conflict between SBP/DBP.</w:t>
            </w:r>
          </w:p>
        </w:tc>
      </w:tr>
      <w:tr>
        <w:trPr>
          <w:cantSplit/>
        </w:trPr>
        <w:tc>
          <w:tcPr>
            <w:tcW w:type="dxa" w:w="1584"/>
            <w:tcMar>
              <w:top w:w="50" w:type="dxa"/>
              <w:bottom w:w="50" w:type="dxa"/>
              <w:left w:w="80" w:type="dxa"/>
              <w:right w:w="80" w:type="dxa"/>
            </w:tcMar>
          </w:tcPr>
          <w:p>
            <w:pPr>
              <w:spacing w:before="10" w:after="10" w:line="252" w:lineRule="auto"/>
              <w:jc w:val="left"/>
            </w:pPr>
            <w:r>
              <w:rPr>
                <w:rFonts w:ascii="Times New Roman" w:hAnsi="Times New Roman"/>
                <w:color w:val="000000"/>
                <w:sz w:val="20"/>
              </w:rPr>
              <w:t>Proposed LuminaBP</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Facial rPPG</w:t>
            </w:r>
          </w:p>
        </w:tc>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MODEL-06-SepHead (ResNet-BiGRU-MHSA)</w:t>
            </w:r>
          </w:p>
        </w:tc>
        <w:tc>
          <w:tcPr>
            <w:tcW w:type="dxa" w:w="1728"/>
            <w:tcMar>
              <w:top w:w="50" w:type="dxa"/>
              <w:bottom w:w="50" w:type="dxa"/>
              <w:left w:w="80" w:type="dxa"/>
              <w:right w:w="80" w:type="dxa"/>
            </w:tcMar>
          </w:tcPr>
          <w:p>
            <w:pPr>
              <w:spacing w:before="10" w:after="10" w:line="252" w:lineRule="auto"/>
              <w:jc w:val="left"/>
            </w:pPr>
            <w:r>
              <w:rPr>
                <w:rFonts w:ascii="Times New Roman" w:hAnsi="Times New Roman"/>
                <w:color w:val="000000"/>
                <w:sz w:val="20"/>
              </w:rPr>
              <w:t>MCD Dataset (599 Sub., 17,943 Win)</w:t>
            </w:r>
          </w:p>
        </w:tc>
        <w:tc>
          <w:tcPr>
            <w:tcW w:type="dxa" w:w="1008"/>
            <w:tcMar>
              <w:top w:w="50" w:type="dxa"/>
              <w:bottom w:w="50" w:type="dxa"/>
              <w:left w:w="80" w:type="dxa"/>
              <w:right w:w="80" w:type="dxa"/>
            </w:tcMar>
          </w:tcPr>
          <w:p>
            <w:pPr>
              <w:spacing w:before="10" w:after="10" w:line="252" w:lineRule="auto"/>
              <w:jc w:val="center"/>
            </w:pPr>
            <w:r>
              <w:rPr>
                <w:rFonts w:ascii="Times New Roman" w:hAnsi="Times New Roman"/>
                <w:color w:val="000000"/>
                <w:sz w:val="20"/>
              </w:rPr>
              <w:t>10.12 mmHg</w:t>
            </w:r>
          </w:p>
        </w:tc>
        <w:tc>
          <w:tcPr>
            <w:tcW w:type="dxa" w:w="1008"/>
            <w:tcMar>
              <w:top w:w="50" w:type="dxa"/>
              <w:bottom w:w="50" w:type="dxa"/>
              <w:left w:w="80" w:type="dxa"/>
              <w:right w:w="80" w:type="dxa"/>
            </w:tcMar>
          </w:tcPr>
          <w:p>
            <w:pPr>
              <w:spacing w:before="10" w:after="10" w:line="252" w:lineRule="auto"/>
              <w:jc w:val="center"/>
            </w:pPr>
            <w:r>
              <w:rPr>
                <w:rFonts w:ascii="Times New Roman" w:hAnsi="Times New Roman"/>
                <w:color w:val="000000"/>
                <w:sz w:val="20"/>
              </w:rPr>
              <w:t>5.91 mmHg</w:t>
            </w:r>
          </w:p>
        </w:tc>
        <w:tc>
          <w:tcPr>
            <w:tcW w:type="dxa" w:w="1872"/>
            <w:tcMar>
              <w:top w:w="50" w:type="dxa"/>
              <w:bottom w:w="50" w:type="dxa"/>
              <w:left w:w="80" w:type="dxa"/>
              <w:right w:w="80" w:type="dxa"/>
            </w:tcMar>
          </w:tcPr>
          <w:p>
            <w:pPr>
              <w:spacing w:before="10" w:after="10" w:line="252" w:lineRule="auto"/>
              <w:jc w:val="left"/>
            </w:pPr>
            <w:r>
              <w:rPr>
                <w:rFonts w:ascii="Times New Roman" w:hAnsi="Times New Roman"/>
                <w:color w:val="000000"/>
                <w:sz w:val="20"/>
              </w:rPr>
              <w:t>Requires minimum ambient lighting (&gt;150 lux) and 10s steady window.</w:t>
            </w:r>
          </w:p>
        </w:tc>
      </w:tr>
    </w:tbl>
    <w:p>
      <w:pPr>
        <w:spacing w:before="0" w:after="120"/>
      </w:pPr>
    </w:p>
    <w:p>
      <w:pPr>
        <w:keepNext/>
        <w:spacing w:before="240" w:after="80"/>
        <w:jc w:val="left"/>
      </w:pPr>
      <w:r>
        <w:rPr>
          <w:rFonts w:ascii="Times New Roman" w:hAnsi="Times New Roman"/>
          <w:b/>
          <w:color w:val="000000"/>
          <w:sz w:val="26"/>
        </w:rPr>
        <w:t>3.6 Research Gaps &amp; The Normotensive Regression Trap</w:t>
      </w:r>
    </w:p>
    <w:p>
      <w:pPr>
        <w:spacing w:before="0" w:after="100" w:line="348" w:lineRule="auto"/>
        <w:jc w:val="both"/>
      </w:pPr>
      <w:r>
        <w:rPr>
          <w:rFonts w:ascii="Times New Roman" w:hAnsi="Times New Roman"/>
          <w:color w:val="000000"/>
          <w:sz w:val="24"/>
        </w:rPr>
        <w:t>A rigorous audit of published literature reveals several critical research gaps: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The Normotensive Regression Trap: Many reported rPPG-to-BP models report deceptively low MAE (&lt;6 mmHg) simply because the underlying dataset is 95% normotensive. In reality, models suffer from 'template collapse', constantly predicting ~120/80 mmHg regardless of actual patient hemodynamics, resulting in negative or near-zero Pearson correlation coefficients.</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Uncontrolled Camera Auto-Exposure: Standard webcam and mobile recordings suffer from automatic exposure jumps that destroy the 1–2 Hz cardiac frequency band, an issue neglected by most offline algorithms.</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Shared-Head Gradient Interference: Systolic and Diastolic pressures exhibit distinct physiological control mechanisms (cardiac inotropy vs. vascular tone). Forcing a single shared dense layer to predict both SBP and DBP induces gradient interference during backpropagation.</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Lack of On-Device Edge Deployment: Most state-of-the-art models require high-end desktop GPUs and cannot execute within real-time constraints on mobile edge hardware.</w:t>
      </w:r>
    </w:p>
    <w:p>
      <w:pPr>
        <w:keepNext/>
        <w:spacing w:before="240" w:after="80"/>
        <w:jc w:val="left"/>
      </w:pPr>
      <w:r>
        <w:rPr>
          <w:rFonts w:ascii="Times New Roman" w:hAnsi="Times New Roman"/>
          <w:b/>
          <w:color w:val="000000"/>
          <w:sz w:val="26"/>
        </w:rPr>
        <w:t>3.7 Proposed LuminaBP Solution</w:t>
      </w:r>
    </w:p>
    <w:p>
      <w:pPr>
        <w:spacing w:before="0" w:after="100" w:line="348" w:lineRule="auto"/>
        <w:jc w:val="both"/>
      </w:pPr>
      <w:r>
        <w:rPr>
          <w:rFonts w:ascii="Times New Roman" w:hAnsi="Times New Roman"/>
          <w:color w:val="000000"/>
          <w:sz w:val="24"/>
        </w:rPr>
        <w:t>To overcome these challenges, this project introduces LuminaBP, an end-to-end contactless blood pressure estimation architecture. LuminaBP resolves optical noise through sensor parameter locking and POS extraction, eliminates high-frequency quantization noise while preserving pulse derivatives using adaptive Savitzky-Golay filtering, and solves gradient interference through the decoupled MODEL-06-SepHead neural architecture.</w:t>
      </w:r>
    </w:p>
    <w:p>
      <w:r>
        <w:br w:type="page"/>
      </w:r>
    </w:p>
    <w:p>
      <w:pPr>
        <w:keepNext/>
        <w:spacing w:before="320" w:after="60"/>
        <w:jc w:val="center"/>
      </w:pPr>
      <w:r>
        <w:rPr>
          <w:rFonts w:ascii="Times New Roman" w:hAnsi="Times New Roman"/>
          <w:b/>
          <w:color w:val="000000"/>
          <w:sz w:val="30"/>
        </w:rPr>
        <w:t>CHAPTER-04</w:t>
      </w:r>
    </w:p>
    <w:p>
      <w:pPr>
        <w:keepNext/>
        <w:spacing w:before="60" w:after="280"/>
        <w:jc w:val="center"/>
      </w:pPr>
      <w:r>
        <w:rPr>
          <w:rFonts w:ascii="Times New Roman" w:hAnsi="Times New Roman"/>
          <w:b/>
          <w:color w:val="000000"/>
          <w:sz w:val="30"/>
        </w:rPr>
        <w:t>PROPOSED METHODOLOGY &amp; SYSTEM ARCHITECTURE</w:t>
      </w:r>
    </w:p>
    <w:p>
      <w:pPr>
        <w:spacing w:before="0" w:after="100" w:line="348" w:lineRule="auto"/>
        <w:jc w:val="both"/>
      </w:pPr>
      <w:r>
        <w:rPr>
          <w:rFonts w:ascii="Times New Roman" w:hAnsi="Times New Roman"/>
          <w:color w:val="000000"/>
          <w:sz w:val="24"/>
        </w:rPr>
        <w:t>This chapter describes the comprehensive architecture and mathematical formulation of LuminaBP, an end-to-end machine learning framework for non-invasive, continuous blood pressure estimation from facial video streams. Following rigorous Nature-style scientific methodology, each pipeline stage is structured around three essential elements: Module Design, Motivation, and Technical Advantages.</w:t>
      </w:r>
    </w:p>
    <w:p>
      <w:pPr>
        <w:keepNext/>
        <w:spacing w:before="240" w:after="80"/>
        <w:jc w:val="left"/>
      </w:pPr>
      <w:r>
        <w:rPr>
          <w:rFonts w:ascii="Times New Roman" w:hAnsi="Times New Roman"/>
          <w:b/>
          <w:color w:val="000000"/>
          <w:sz w:val="26"/>
        </w:rPr>
        <w:t>4.1 System Overview &amp; Architectural Pipeline</w:t>
      </w:r>
    </w:p>
    <w:p>
      <w:pPr>
        <w:spacing w:before="0" w:after="100" w:line="348" w:lineRule="auto"/>
        <w:jc w:val="both"/>
      </w:pPr>
      <w:r>
        <w:rPr>
          <w:rFonts w:ascii="Times New Roman" w:hAnsi="Times New Roman"/>
          <w:color w:val="000000"/>
          <w:sz w:val="24"/>
        </w:rPr>
        <w:t>The LuminaBP computational pipeline translates raw optical camera frames into calibrated systolic and diastolic blood pressure predictions through seven modular processing stages. The complete workflow is illustrated in Figure 4.1 and specified in Table 4.1.</w:t>
      </w:r>
    </w:p>
    <w:p>
      <w:pPr>
        <w:spacing w:before="160" w:after="60"/>
        <w:jc w:val="center"/>
      </w:pPr>
      <w:r>
        <w:drawing>
          <wp:inline xmlns:a="http://schemas.openxmlformats.org/drawingml/2006/main" xmlns:pic="http://schemas.openxmlformats.org/drawingml/2006/picture">
            <wp:extent cx="5303520" cy="2140870"/>
            <wp:docPr id="3" name="Picture 3"/>
            <wp:cNvGraphicFramePr>
              <a:graphicFrameLocks noChangeAspect="1"/>
            </wp:cNvGraphicFramePr>
            <a:graphic>
              <a:graphicData uri="http://schemas.openxmlformats.org/drawingml/2006/picture">
                <pic:pic>
                  <pic:nvPicPr>
                    <pic:cNvPr id="0" name="fig_pipeline_overview.png"/>
                    <pic:cNvPicPr/>
                  </pic:nvPicPr>
                  <pic:blipFill>
                    <a:blip r:embed="rId15"/>
                    <a:stretch>
                      <a:fillRect/>
                    </a:stretch>
                  </pic:blipFill>
                  <pic:spPr>
                    <a:xfrm>
                      <a:off x="0" y="0"/>
                      <a:ext cx="5303520" cy="2140870"/>
                    </a:xfrm>
                    <a:prstGeom prst="rect"/>
                  </pic:spPr>
                </pic:pic>
              </a:graphicData>
            </a:graphic>
          </wp:inline>
        </w:drawing>
      </w:r>
    </w:p>
    <w:p>
      <w:pPr>
        <w:keepNext/>
        <w:spacing w:before="40" w:after="200"/>
        <w:jc w:val="center"/>
      </w:pPr>
      <w:r>
        <w:rPr>
          <w:rFonts w:ascii="Times New Roman" w:hAnsi="Times New Roman"/>
          <w:b/>
          <w:i/>
          <w:sz w:val="20"/>
        </w:rPr>
        <w:t xml:space="preserve">Figure 4.1: </w:t>
      </w:r>
      <w:r>
        <w:rPr>
          <w:rFonts w:ascii="Times New Roman" w:hAnsi="Times New Roman"/>
          <w:i/>
          <w:sz w:val="20"/>
        </w:rPr>
        <w:t>End-to-End LuminaBP System Architecture: Showing video acquisition with exposure lock, MediaPipe multi-ROI tracking, POS chrominance projection, Savitzky-Golay signal conditioning, morphological feature extraction, and the decoupled MODEL-06-SepHead deep sequential neural network.</w:t>
      </w:r>
    </w:p>
    <w:p>
      <w:pPr>
        <w:keepNext/>
        <w:spacing w:before="200" w:after="60"/>
        <w:jc w:val="center"/>
      </w:pPr>
      <w:r>
        <w:rPr>
          <w:rFonts w:ascii="Times New Roman" w:hAnsi="Times New Roman"/>
          <w:b/>
          <w:sz w:val="23"/>
        </w:rPr>
        <w:t xml:space="preserve">Table 4.1: </w:t>
      </w:r>
      <w:r>
        <w:rPr>
          <w:rFonts w:ascii="Times New Roman" w:hAnsi="Times New Roman"/>
          <w:b/>
          <w:sz w:val="23"/>
        </w:rPr>
        <w:t>LuminaBP Multi-Stage Architectural Pipeline Specifications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60"/>
        <w:gridCol w:w="2160"/>
        <w:gridCol w:w="2160"/>
        <w:gridCol w:w="2160"/>
      </w:tblGrid>
      <w:tr>
        <w:trPr>
          <w:cantSplit/>
          <w:tblHeader/>
        </w:trPr>
        <w:tc>
          <w:tcPr>
            <w:tcW w:type="dxa" w:w="144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Pipeline Stage</w:t>
            </w:r>
          </w:p>
        </w:tc>
        <w:tc>
          <w:tcPr>
            <w:tcW w:type="dxa" w:w="187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Module Name</w:t>
            </w:r>
          </w:p>
        </w:tc>
        <w:tc>
          <w:tcPr>
            <w:tcW w:type="dxa" w:w="360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Primary Operation / Algorithm</w:t>
            </w:r>
          </w:p>
        </w:tc>
        <w:tc>
          <w:tcPr>
            <w:tcW w:type="dxa" w:w="259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Output Dimension / Rate</w:t>
            </w:r>
          </w:p>
        </w:tc>
      </w:tr>
      <w:tr>
        <w:trPr>
          <w:cantSplit/>
        </w:trPr>
        <w:tc>
          <w:tcPr>
            <w:tcW w:type="dxa" w:w="1440"/>
            <w:tcMar>
              <w:top w:w="50" w:type="dxa"/>
              <w:bottom w:w="50" w:type="dxa"/>
              <w:left w:w="80" w:type="dxa"/>
              <w:right w:w="80" w:type="dxa"/>
            </w:tcMar>
          </w:tcPr>
          <w:p>
            <w:pPr>
              <w:spacing w:before="10" w:after="10" w:line="252" w:lineRule="auto"/>
              <w:jc w:val="left"/>
            </w:pPr>
            <w:r>
              <w:rPr>
                <w:rFonts w:ascii="Times New Roman" w:hAnsi="Times New Roman"/>
                <w:color w:val="000000"/>
                <w:sz w:val="20"/>
              </w:rPr>
              <w:t>Stage 1</w:t>
            </w:r>
          </w:p>
        </w:tc>
        <w:tc>
          <w:tcPr>
            <w:tcW w:type="dxa" w:w="1872"/>
            <w:tcMar>
              <w:top w:w="50" w:type="dxa"/>
              <w:bottom w:w="50" w:type="dxa"/>
              <w:left w:w="80" w:type="dxa"/>
              <w:right w:w="80" w:type="dxa"/>
            </w:tcMar>
          </w:tcPr>
          <w:p>
            <w:pPr>
              <w:spacing w:before="10" w:after="10" w:line="252" w:lineRule="auto"/>
              <w:jc w:val="center"/>
            </w:pPr>
            <w:r>
              <w:rPr>
                <w:rFonts w:ascii="Times New Roman" w:hAnsi="Times New Roman"/>
                <w:color w:val="000000"/>
                <w:sz w:val="20"/>
              </w:rPr>
              <w:t>Hardware Ingestion</w:t>
            </w:r>
          </w:p>
        </w:tc>
        <w:tc>
          <w:tcPr>
            <w:tcW w:type="dxa" w:w="3600"/>
            <w:tcMar>
              <w:top w:w="50" w:type="dxa"/>
              <w:bottom w:w="50" w:type="dxa"/>
              <w:left w:w="80" w:type="dxa"/>
              <w:right w:w="80" w:type="dxa"/>
            </w:tcMar>
          </w:tcPr>
          <w:p>
            <w:pPr>
              <w:spacing w:before="10" w:after="10" w:line="252" w:lineRule="auto"/>
              <w:jc w:val="left"/>
            </w:pPr>
            <w:r>
              <w:rPr>
                <w:rFonts w:ascii="Times New Roman" w:hAnsi="Times New Roman"/>
                <w:color w:val="000000"/>
                <w:sz w:val="20"/>
              </w:rPr>
              <w:t>Camera2 API Locked Acquisition (30 FPS, Fixed ISO/WB)</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RGB Frame Stream (1080p @ 30 Hz)</w:t>
            </w:r>
          </w:p>
        </w:tc>
      </w:tr>
      <w:tr>
        <w:trPr>
          <w:cantSplit/>
        </w:trPr>
        <w:tc>
          <w:tcPr>
            <w:tcW w:type="dxa" w:w="144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Stage 2</w:t>
            </w:r>
          </w:p>
        </w:tc>
        <w:tc>
          <w:tcPr>
            <w:tcW w:type="dxa" w:w="187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Facial Tracking</w:t>
            </w:r>
          </w:p>
        </w:tc>
        <w:tc>
          <w:tcPr>
            <w:tcW w:type="dxa" w:w="360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MediaPipe 468-Point Mesh (Forehead + Bilateral Malar ROIs)</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Spatial Mean RGB Signals (3 × T)</w:t>
            </w:r>
          </w:p>
        </w:tc>
      </w:tr>
      <w:tr>
        <w:trPr>
          <w:cantSplit/>
        </w:trPr>
        <w:tc>
          <w:tcPr>
            <w:tcW w:type="dxa" w:w="1440"/>
            <w:tcMar>
              <w:top w:w="50" w:type="dxa"/>
              <w:bottom w:w="50" w:type="dxa"/>
              <w:left w:w="80" w:type="dxa"/>
              <w:right w:w="80" w:type="dxa"/>
            </w:tcMar>
          </w:tcPr>
          <w:p>
            <w:pPr>
              <w:spacing w:before="10" w:after="10" w:line="252" w:lineRule="auto"/>
              <w:jc w:val="left"/>
            </w:pPr>
            <w:r>
              <w:rPr>
                <w:rFonts w:ascii="Times New Roman" w:hAnsi="Times New Roman"/>
                <w:color w:val="000000"/>
                <w:sz w:val="20"/>
              </w:rPr>
              <w:t>Stage 3</w:t>
            </w:r>
          </w:p>
        </w:tc>
        <w:tc>
          <w:tcPr>
            <w:tcW w:type="dxa" w:w="1872"/>
            <w:tcMar>
              <w:top w:w="50" w:type="dxa"/>
              <w:bottom w:w="50" w:type="dxa"/>
              <w:left w:w="80" w:type="dxa"/>
              <w:right w:w="80" w:type="dxa"/>
            </w:tcMar>
          </w:tcPr>
          <w:p>
            <w:pPr>
              <w:spacing w:before="10" w:after="10" w:line="252" w:lineRule="auto"/>
              <w:jc w:val="center"/>
            </w:pPr>
            <w:r>
              <w:rPr>
                <w:rFonts w:ascii="Times New Roman" w:hAnsi="Times New Roman"/>
                <w:color w:val="000000"/>
                <w:sz w:val="20"/>
              </w:rPr>
              <w:t>rPPG Extraction</w:t>
            </w:r>
          </w:p>
        </w:tc>
        <w:tc>
          <w:tcPr>
            <w:tcW w:type="dxa" w:w="3600"/>
            <w:tcMar>
              <w:top w:w="50" w:type="dxa"/>
              <w:bottom w:w="50" w:type="dxa"/>
              <w:left w:w="80" w:type="dxa"/>
              <w:right w:w="80" w:type="dxa"/>
            </w:tcMar>
          </w:tcPr>
          <w:p>
            <w:pPr>
              <w:spacing w:before="10" w:after="10" w:line="252" w:lineRule="auto"/>
              <w:jc w:val="left"/>
            </w:pPr>
            <w:r>
              <w:rPr>
                <w:rFonts w:ascii="Times New Roman" w:hAnsi="Times New Roman"/>
                <w:color w:val="000000"/>
                <w:sz w:val="20"/>
              </w:rPr>
              <w:t>Plane-Orthogonal-to-Skin (POS) Chrominance Projection</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Raw Blood Volume Pulse (1D @ 30 Hz)</w:t>
            </w:r>
          </w:p>
        </w:tc>
      </w:tr>
      <w:tr>
        <w:trPr>
          <w:cantSplit/>
        </w:trPr>
        <w:tc>
          <w:tcPr>
            <w:tcW w:type="dxa" w:w="144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Stage 4</w:t>
            </w:r>
          </w:p>
        </w:tc>
        <w:tc>
          <w:tcPr>
            <w:tcW w:type="dxa" w:w="187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Signal Conditioning</w:t>
            </w:r>
          </w:p>
        </w:tc>
        <w:tc>
          <w:tcPr>
            <w:tcW w:type="dxa" w:w="360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Butterworth Bandpass (0.7–3.5 Hz) + Savitzky-Golay Filter</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Denoised BVP Waveform (1D @ 125 Hz)</w:t>
            </w:r>
          </w:p>
        </w:tc>
      </w:tr>
      <w:tr>
        <w:trPr>
          <w:cantSplit/>
        </w:trPr>
        <w:tc>
          <w:tcPr>
            <w:tcW w:type="dxa" w:w="1440"/>
            <w:tcMar>
              <w:top w:w="50" w:type="dxa"/>
              <w:bottom w:w="50" w:type="dxa"/>
              <w:left w:w="80" w:type="dxa"/>
              <w:right w:w="80" w:type="dxa"/>
            </w:tcMar>
          </w:tcPr>
          <w:p>
            <w:pPr>
              <w:spacing w:before="10" w:after="10" w:line="252" w:lineRule="auto"/>
              <w:jc w:val="left"/>
            </w:pPr>
            <w:r>
              <w:rPr>
                <w:rFonts w:ascii="Times New Roman" w:hAnsi="Times New Roman"/>
                <w:color w:val="000000"/>
                <w:sz w:val="20"/>
              </w:rPr>
              <w:t>Stage 5</w:t>
            </w:r>
          </w:p>
        </w:tc>
        <w:tc>
          <w:tcPr>
            <w:tcW w:type="dxa" w:w="1872"/>
            <w:tcMar>
              <w:top w:w="50" w:type="dxa"/>
              <w:bottom w:w="50" w:type="dxa"/>
              <w:left w:w="80" w:type="dxa"/>
              <w:right w:w="80" w:type="dxa"/>
            </w:tcMar>
          </w:tcPr>
          <w:p>
            <w:pPr>
              <w:spacing w:before="10" w:after="10" w:line="252" w:lineRule="auto"/>
              <w:jc w:val="center"/>
            </w:pPr>
            <w:r>
              <w:rPr>
                <w:rFonts w:ascii="Times New Roman" w:hAnsi="Times New Roman"/>
                <w:color w:val="000000"/>
                <w:sz w:val="20"/>
              </w:rPr>
              <w:t>Feature Engineering</w:t>
            </w:r>
          </w:p>
        </w:tc>
        <w:tc>
          <w:tcPr>
            <w:tcW w:type="dxa" w:w="3600"/>
            <w:tcMar>
              <w:top w:w="50" w:type="dxa"/>
              <w:bottom w:w="50" w:type="dxa"/>
              <w:left w:w="80" w:type="dxa"/>
              <w:right w:w="80" w:type="dxa"/>
            </w:tcMar>
          </w:tcPr>
          <w:p>
            <w:pPr>
              <w:spacing w:before="10" w:after="10" w:line="252" w:lineRule="auto"/>
              <w:jc w:val="left"/>
            </w:pPr>
            <w:r>
              <w:rPr>
                <w:rFonts w:ascii="Times New Roman" w:hAnsi="Times New Roman"/>
                <w:color w:val="000000"/>
                <w:sz w:val="20"/>
              </w:rPr>
              <w:t>Morphological, Temporal, Spectral &amp; HRV Metrics</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Engineered Feature Vector (38 Features)</w:t>
            </w:r>
          </w:p>
        </w:tc>
      </w:tr>
      <w:tr>
        <w:trPr>
          <w:cantSplit/>
        </w:trPr>
        <w:tc>
          <w:tcPr>
            <w:tcW w:type="dxa" w:w="144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Stage 6</w:t>
            </w:r>
          </w:p>
        </w:tc>
        <w:tc>
          <w:tcPr>
            <w:tcW w:type="dxa" w:w="187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Deep Neural Network</w:t>
            </w:r>
          </w:p>
        </w:tc>
        <w:tc>
          <w:tcPr>
            <w:tcW w:type="dxa" w:w="360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MODEL-06-SepHead (1D ResNet + BiGRU + MHSA + SepHeads)</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Continuous SBP / DBP Estimates (mmHg)</w:t>
            </w:r>
          </w:p>
        </w:tc>
      </w:tr>
      <w:tr>
        <w:trPr>
          <w:cantSplit/>
        </w:trPr>
        <w:tc>
          <w:tcPr>
            <w:tcW w:type="dxa" w:w="1440"/>
            <w:tcMar>
              <w:top w:w="50" w:type="dxa"/>
              <w:bottom w:w="50" w:type="dxa"/>
              <w:left w:w="80" w:type="dxa"/>
              <w:right w:w="80" w:type="dxa"/>
            </w:tcMar>
          </w:tcPr>
          <w:p>
            <w:pPr>
              <w:spacing w:before="10" w:after="10" w:line="252" w:lineRule="auto"/>
              <w:jc w:val="left"/>
            </w:pPr>
            <w:r>
              <w:rPr>
                <w:rFonts w:ascii="Times New Roman" w:hAnsi="Times New Roman"/>
                <w:color w:val="000000"/>
                <w:sz w:val="20"/>
              </w:rPr>
              <w:t>Stage 7</w:t>
            </w:r>
          </w:p>
        </w:tc>
        <w:tc>
          <w:tcPr>
            <w:tcW w:type="dxa" w:w="1872"/>
            <w:tcMar>
              <w:top w:w="50" w:type="dxa"/>
              <w:bottom w:w="50" w:type="dxa"/>
              <w:left w:w="80" w:type="dxa"/>
              <w:right w:w="80" w:type="dxa"/>
            </w:tcMar>
          </w:tcPr>
          <w:p>
            <w:pPr>
              <w:spacing w:before="10" w:after="10" w:line="252" w:lineRule="auto"/>
              <w:jc w:val="center"/>
            </w:pPr>
            <w:r>
              <w:rPr>
                <w:rFonts w:ascii="Times New Roman" w:hAnsi="Times New Roman"/>
                <w:color w:val="000000"/>
                <w:sz w:val="20"/>
              </w:rPr>
              <w:t>Clinical Calibration</w:t>
            </w:r>
          </w:p>
        </w:tc>
        <w:tc>
          <w:tcPr>
            <w:tcW w:type="dxa" w:w="3600"/>
            <w:tcMar>
              <w:top w:w="50" w:type="dxa"/>
              <w:bottom w:w="50" w:type="dxa"/>
              <w:left w:w="80" w:type="dxa"/>
              <w:right w:w="80" w:type="dxa"/>
            </w:tcMar>
          </w:tcPr>
          <w:p>
            <w:pPr>
              <w:spacing w:before="10" w:after="10" w:line="252" w:lineRule="auto"/>
              <w:jc w:val="left"/>
            </w:pPr>
            <w:r>
              <w:rPr>
                <w:rFonts w:ascii="Times New Roman" w:hAnsi="Times New Roman"/>
                <w:color w:val="000000"/>
                <w:sz w:val="20"/>
              </w:rPr>
              <w:t>1-Point Offset Adjustment + SNR Rejection Gating</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Calibrated Clinical Report (AAMI Graded)</w:t>
            </w:r>
          </w:p>
        </w:tc>
      </w:tr>
    </w:tbl>
    <w:p>
      <w:pPr>
        <w:spacing w:before="0" w:after="120"/>
      </w:pPr>
    </w:p>
    <w:p>
      <w:pPr>
        <w:keepNext/>
        <w:spacing w:before="240" w:after="80"/>
        <w:jc w:val="left"/>
      </w:pPr>
      <w:r>
        <w:rPr>
          <w:rFonts w:ascii="Times New Roman" w:hAnsi="Times New Roman"/>
          <w:b/>
          <w:color w:val="000000"/>
          <w:sz w:val="26"/>
        </w:rPr>
        <w:t>4.2 Module 1: High-Stability Video Acquisition &amp; Exposure Lock</w:t>
      </w:r>
    </w:p>
    <w:p>
      <w:pPr>
        <w:keepNext/>
        <w:spacing w:before="180" w:after="60"/>
        <w:jc w:val="left"/>
      </w:pPr>
      <w:r>
        <w:rPr>
          <w:rFonts w:ascii="Times New Roman" w:hAnsi="Times New Roman"/>
          <w:b/>
          <w:color w:val="000000"/>
          <w:sz w:val="24"/>
        </w:rPr>
        <w:t>4.2.1 Module Design</w:t>
      </w:r>
    </w:p>
    <w:p>
      <w:pPr>
        <w:spacing w:before="0" w:after="100" w:line="348" w:lineRule="auto"/>
        <w:jc w:val="both"/>
      </w:pPr>
      <w:r>
        <w:rPr>
          <w:rFonts w:ascii="Times New Roman" w:hAnsi="Times New Roman"/>
          <w:color w:val="000000"/>
          <w:sz w:val="24"/>
        </w:rPr>
        <w:t>The acquisition module interfaces directly with hardware image sensors via the Android Camera2 NDK/Java API. Crucially, standard automatic camera loops—including Auto-Exposure (AE), Auto-White-Balance (AWB), and Auto-Focus (AF)—are locked to fixed manual parameters immediately upon face detection. Video frames are captured in uncompressed YUV_420_888 format at a constant 30 frames per second with monotonic nanosecond hardware timestamping.</w:t>
      </w:r>
    </w:p>
    <w:p>
      <w:pPr>
        <w:keepNext/>
        <w:spacing w:before="180" w:after="60"/>
        <w:jc w:val="left"/>
      </w:pPr>
      <w:r>
        <w:rPr>
          <w:rFonts w:ascii="Times New Roman" w:hAnsi="Times New Roman"/>
          <w:b/>
          <w:color w:val="000000"/>
          <w:sz w:val="24"/>
        </w:rPr>
        <w:t>4.2.2 Motivation</w:t>
      </w:r>
    </w:p>
    <w:p>
      <w:pPr>
        <w:spacing w:before="0" w:after="100" w:line="348" w:lineRule="auto"/>
        <w:jc w:val="both"/>
      </w:pPr>
      <w:r>
        <w:rPr>
          <w:rFonts w:ascii="Times New Roman" w:hAnsi="Times New Roman"/>
          <w:color w:val="000000"/>
          <w:sz w:val="24"/>
        </w:rPr>
        <w:t>Under normal operating conditions, commercial smartphone cameras continuously adjust shutter speed and sensor gain in response to subtle subject motion or background lighting shifts. These sudden exposure jumps alter RGB intensity by 5% to 20%, which completely overwhelms the subtle 0.5% pulsatile physiological signal, injecting non-cardiac spectral spikes that destroy rPPG phase information.</w:t>
      </w:r>
    </w:p>
    <w:p>
      <w:pPr>
        <w:keepNext/>
        <w:spacing w:before="180" w:after="60"/>
        <w:jc w:val="left"/>
      </w:pPr>
      <w:r>
        <w:rPr>
          <w:rFonts w:ascii="Times New Roman" w:hAnsi="Times New Roman"/>
          <w:b/>
          <w:color w:val="000000"/>
          <w:sz w:val="24"/>
        </w:rPr>
        <w:t>4.2.3 Technical Advantages</w:t>
      </w:r>
    </w:p>
    <w:p>
      <w:pPr>
        <w:spacing w:before="0" w:after="100" w:line="348" w:lineRule="auto"/>
        <w:jc w:val="both"/>
      </w:pPr>
      <w:r>
        <w:rPr>
          <w:rFonts w:ascii="Times New Roman" w:hAnsi="Times New Roman"/>
          <w:color w:val="000000"/>
          <w:sz w:val="24"/>
        </w:rPr>
        <w:t>By enforcing hardware-level exposure and gain locking, the sensor noise floor is stabilized, ensuring that temporal intensity modulations directly reflect true subcutaneous capillary hemoglobin absorption rather than camera firmware compensations.</w:t>
      </w:r>
    </w:p>
    <w:p>
      <w:pPr>
        <w:keepNext/>
        <w:spacing w:before="240" w:after="80"/>
        <w:jc w:val="left"/>
      </w:pPr>
      <w:r>
        <w:rPr>
          <w:rFonts w:ascii="Times New Roman" w:hAnsi="Times New Roman"/>
          <w:b/>
          <w:color w:val="000000"/>
          <w:sz w:val="26"/>
        </w:rPr>
        <w:t>4.3 Module 2: Facial Mesh Landmarking &amp; Dynamic Multi-ROI Tracking</w:t>
      </w:r>
    </w:p>
    <w:p>
      <w:pPr>
        <w:keepNext/>
        <w:spacing w:before="180" w:after="60"/>
        <w:jc w:val="left"/>
      </w:pPr>
      <w:r>
        <w:rPr>
          <w:rFonts w:ascii="Times New Roman" w:hAnsi="Times New Roman"/>
          <w:b/>
          <w:color w:val="000000"/>
          <w:sz w:val="24"/>
        </w:rPr>
        <w:t>4.3.1 Module Design</w:t>
      </w:r>
    </w:p>
    <w:p>
      <w:pPr>
        <w:spacing w:before="0" w:after="100" w:line="348" w:lineRule="auto"/>
        <w:jc w:val="both"/>
      </w:pPr>
      <w:r>
        <w:rPr>
          <w:rFonts w:ascii="Times New Roman" w:hAnsi="Times New Roman"/>
          <w:color w:val="000000"/>
          <w:sz w:val="24"/>
        </w:rPr>
        <w:t>LuminaBP integrates the Google MediaPipe Face Mesh pipeline, generating 468 3D facial landmarks in real time. Rather than taking a coarse bounding box encompassing non-vascular regions (eyes, hair, lips), the system dynamically isolates three anatomically rich microvascular regions: the upper forehead (landmarks 10, 338, 297, 332, 284, 251, 389) and bilateral malar/cheek zones (left: 116, 123, 147, 187, 205; right: 345, 352, 376, 411, 425), as shown in Figure 4.2.</w:t>
      </w:r>
    </w:p>
    <w:p>
      <w:pPr>
        <w:spacing w:before="160" w:after="6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ig1_roi_wireframe.png"/>
                    <pic:cNvPicPr/>
                  </pic:nvPicPr>
                  <pic:blipFill>
                    <a:blip r:embed="rId16"/>
                    <a:stretch>
                      <a:fillRect/>
                    </a:stretch>
                  </pic:blipFill>
                  <pic:spPr>
                    <a:xfrm>
                      <a:off x="0" y="0"/>
                      <a:ext cx="5303520" cy="2983230"/>
                    </a:xfrm>
                    <a:prstGeom prst="rect"/>
                  </pic:spPr>
                </pic:pic>
              </a:graphicData>
            </a:graphic>
          </wp:inline>
        </w:drawing>
      </w:r>
    </w:p>
    <w:p>
      <w:pPr>
        <w:keepNext/>
        <w:spacing w:before="40" w:after="200"/>
        <w:jc w:val="center"/>
      </w:pPr>
      <w:r>
        <w:rPr>
          <w:rFonts w:ascii="Times New Roman" w:hAnsi="Times New Roman"/>
          <w:b/>
          <w:i/>
          <w:sz w:val="20"/>
        </w:rPr>
        <w:t xml:space="preserve">Figure 4.2: </w:t>
      </w:r>
      <w:r>
        <w:rPr>
          <w:rFonts w:ascii="Times New Roman" w:hAnsi="Times New Roman"/>
          <w:i/>
          <w:sz w:val="20"/>
        </w:rPr>
        <w:t>MediaPipe 468-Point Facial Mesh Wireframe: Highlighting anatomically optimized regions of interest across the upper forehead and bilateral malar (cheek) capillary beds on a clean publication-grade white background.</w:t>
      </w:r>
    </w:p>
    <w:p>
      <w:pPr>
        <w:keepNext/>
        <w:spacing w:before="180" w:after="60"/>
        <w:jc w:val="left"/>
      </w:pPr>
      <w:r>
        <w:rPr>
          <w:rFonts w:ascii="Times New Roman" w:hAnsi="Times New Roman"/>
          <w:b/>
          <w:color w:val="000000"/>
          <w:sz w:val="24"/>
        </w:rPr>
        <w:t>4.3.2 Motivation</w:t>
      </w:r>
    </w:p>
    <w:p>
      <w:pPr>
        <w:spacing w:before="0" w:after="100" w:line="348" w:lineRule="auto"/>
        <w:jc w:val="both"/>
      </w:pPr>
      <w:r>
        <w:rPr>
          <w:rFonts w:ascii="Times New Roman" w:hAnsi="Times New Roman"/>
          <w:color w:val="000000"/>
          <w:sz w:val="24"/>
        </w:rPr>
        <w:t>Facial micro-movements, eye blinking, and speech induce significant motion artifacts. Coarse facial bounding boxes include ocular and oral regions where non-pulsatile optical changes dominate. Dynamic landmark-guided ROI tracking maintains strict spatial registration on dense dermal capillary beds regardless of rigid head rotations.</w:t>
      </w:r>
    </w:p>
    <w:p>
      <w:pPr>
        <w:keepNext/>
        <w:spacing w:before="180" w:after="60"/>
        <w:jc w:val="left"/>
      </w:pPr>
      <w:r>
        <w:rPr>
          <w:rFonts w:ascii="Times New Roman" w:hAnsi="Times New Roman"/>
          <w:b/>
          <w:color w:val="000000"/>
          <w:sz w:val="24"/>
        </w:rPr>
        <w:t>4.3.3 Technical Advantages</w:t>
      </w:r>
    </w:p>
    <w:p>
      <w:pPr>
        <w:spacing w:before="0" w:after="100" w:line="348" w:lineRule="auto"/>
        <w:jc w:val="both"/>
      </w:pPr>
      <w:r>
        <w:rPr>
          <w:rFonts w:ascii="Times New Roman" w:hAnsi="Times New Roman"/>
          <w:color w:val="000000"/>
          <w:sz w:val="24"/>
        </w:rPr>
        <w:t>Spatial averaging across segmented facial polygons reduces uncorrelated sensor readout noise by a factor of √N (where N is the pixel count in the ROI), elevating the rPPG signal-to-noise ratio by more than 18 dB.</w:t>
      </w:r>
    </w:p>
    <w:p>
      <w:pPr>
        <w:keepNext/>
        <w:spacing w:before="240" w:after="80"/>
        <w:jc w:val="left"/>
      </w:pPr>
      <w:r>
        <w:rPr>
          <w:rFonts w:ascii="Times New Roman" w:hAnsi="Times New Roman"/>
          <w:b/>
          <w:color w:val="000000"/>
          <w:sz w:val="26"/>
        </w:rPr>
        <w:t>4.4 Module 3: Chrominance Projection (POS Algorithm)</w:t>
      </w:r>
    </w:p>
    <w:p>
      <w:pPr>
        <w:keepNext/>
        <w:spacing w:before="180" w:after="60"/>
        <w:jc w:val="left"/>
      </w:pPr>
      <w:r>
        <w:rPr>
          <w:rFonts w:ascii="Times New Roman" w:hAnsi="Times New Roman"/>
          <w:b/>
          <w:color w:val="000000"/>
          <w:sz w:val="24"/>
        </w:rPr>
        <w:t>4.4.1 Module Design</w:t>
      </w:r>
    </w:p>
    <w:p>
      <w:pPr>
        <w:spacing w:before="0" w:after="100" w:line="348" w:lineRule="auto"/>
        <w:jc w:val="both"/>
      </w:pPr>
      <w:r>
        <w:rPr>
          <w:rFonts w:ascii="Times New Roman" w:hAnsi="Times New Roman"/>
          <w:color w:val="000000"/>
          <w:sz w:val="24"/>
        </w:rPr>
        <w:t>The Plane-Orthogonal-to-Skin (POS) algorithm projects temporally normalized RGB color signals c_n(t) = c(t) / μ_c onto a 2D plane orthogonal to the skin tone vector. The mathematical derivation proceeds through orthogonal projection components S_1(t) and S_2(t), synthesized into a scalar blood volume pulse BVP(t) as follows:</w:t>
      </w:r>
    </w:p>
    <w:p>
      <w:pPr>
        <w:keepNext/>
        <w:spacing w:before="60" w:after="40" w:line="276" w:lineRule="auto"/>
        <w:jc w:val="center"/>
      </w:pPr>
      <w:r>
        <w:rPr>
          <w:rFonts w:ascii="Times New Roman" w:hAnsi="Times New Roman"/>
          <w:i/>
          <w:color w:val="000000"/>
          <w:sz w:val="23"/>
        </w:rPr>
        <w:t>S_1(t) = G_n(t) - B_n(t)</w:t>
      </w:r>
    </w:p>
    <w:p>
      <w:pPr>
        <w:keepNext/>
        <w:spacing w:before="40" w:after="40" w:line="276" w:lineRule="auto"/>
        <w:jc w:val="center"/>
      </w:pPr>
      <w:r>
        <w:rPr>
          <w:rFonts w:ascii="Times New Roman" w:hAnsi="Times New Roman"/>
          <w:i/>
          <w:color w:val="000000"/>
          <w:sz w:val="23"/>
        </w:rPr>
        <w:t>S_2(t) = G_n(t) + B_n(t) - 2 · R_n(t)</w:t>
      </w:r>
    </w:p>
    <w:p>
      <w:pPr>
        <w:keepNext w:val="0"/>
        <w:spacing w:before="40" w:after="100" w:line="276" w:lineRule="auto"/>
        <w:jc w:val="center"/>
      </w:pPr>
      <w:r>
        <w:rPr>
          <w:rFonts w:ascii="Times New Roman" w:hAnsi="Times New Roman"/>
          <w:i/>
          <w:color w:val="000000"/>
          <w:sz w:val="23"/>
        </w:rPr>
        <w:t>BVP(t) = S_1(t) + [ σ(S_1) / σ(S_2) ] · S_2(t)</w:t>
      </w:r>
    </w:p>
    <w:p>
      <w:pPr>
        <w:keepNext/>
        <w:spacing w:before="180" w:after="60"/>
        <w:jc w:val="left"/>
      </w:pPr>
      <w:r>
        <w:rPr>
          <w:rFonts w:ascii="Times New Roman" w:hAnsi="Times New Roman"/>
          <w:b/>
          <w:color w:val="000000"/>
          <w:sz w:val="24"/>
        </w:rPr>
        <w:t>4.4.2 Motivation</w:t>
      </w:r>
    </w:p>
    <w:p>
      <w:pPr>
        <w:spacing w:before="0" w:after="100" w:line="348" w:lineRule="auto"/>
        <w:jc w:val="both"/>
      </w:pPr>
      <w:r>
        <w:rPr>
          <w:rFonts w:ascii="Times New Roman" w:hAnsi="Times New Roman"/>
          <w:color w:val="000000"/>
          <w:sz w:val="24"/>
        </w:rPr>
        <w:t>Skin tone variations and specular surface glare introduce severe distortion in single-channel RGB traces. POS establishes a mathematically rigorous coordinate transformation that isolates intensity variations caused by hemoglobin absorption from specular reflections.</w:t>
      </w:r>
    </w:p>
    <w:p>
      <w:pPr>
        <w:keepNext/>
        <w:spacing w:before="180" w:after="60"/>
        <w:jc w:val="left"/>
      </w:pPr>
      <w:r>
        <w:rPr>
          <w:rFonts w:ascii="Times New Roman" w:hAnsi="Times New Roman"/>
          <w:b/>
          <w:color w:val="000000"/>
          <w:sz w:val="24"/>
        </w:rPr>
        <w:t>4.4.3 Technical Advantages</w:t>
      </w:r>
    </w:p>
    <w:p>
      <w:pPr>
        <w:spacing w:before="0" w:after="100" w:line="348" w:lineRule="auto"/>
        <w:jc w:val="both"/>
      </w:pPr>
      <w:r>
        <w:rPr>
          <w:rFonts w:ascii="Times New Roman" w:hAnsi="Times New Roman"/>
          <w:color w:val="000000"/>
          <w:sz w:val="24"/>
        </w:rPr>
        <w:t>Unlike data-driven Blind Source Separation (ICA), POS requires no matrix inversion or statistical convergence iterations, executing in O(1) time complexity with exceptional invariance to subject pigmentation and ambient lighting geometry.</w:t>
      </w:r>
    </w:p>
    <w:p>
      <w:pPr>
        <w:keepNext/>
        <w:spacing w:before="240" w:after="80"/>
        <w:jc w:val="left"/>
      </w:pPr>
      <w:r>
        <w:rPr>
          <w:rFonts w:ascii="Times New Roman" w:hAnsi="Times New Roman"/>
          <w:b/>
          <w:color w:val="000000"/>
          <w:sz w:val="26"/>
        </w:rPr>
        <w:t>4.5 Module 4: Multi-Stage Signal Conditioning &amp; Savitzky-Golay Denoising</w:t>
      </w:r>
    </w:p>
    <w:p>
      <w:pPr>
        <w:keepNext/>
        <w:spacing w:before="180" w:after="60"/>
        <w:jc w:val="left"/>
      </w:pPr>
      <w:r>
        <w:rPr>
          <w:rFonts w:ascii="Times New Roman" w:hAnsi="Times New Roman"/>
          <w:b/>
          <w:color w:val="000000"/>
          <w:sz w:val="24"/>
        </w:rPr>
        <w:t>4.5.1 Module Design</w:t>
      </w:r>
    </w:p>
    <w:p>
      <w:pPr>
        <w:spacing w:before="0" w:after="100" w:line="348" w:lineRule="auto"/>
        <w:jc w:val="both"/>
      </w:pPr>
      <w:r>
        <w:rPr>
          <w:rFonts w:ascii="Times New Roman" w:hAnsi="Times New Roman"/>
          <w:color w:val="000000"/>
          <w:sz w:val="24"/>
        </w:rPr>
        <w:t>Extracted rPPG signals undergo a three-stage conditioning pipeline (Figure 4.3):</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Zero-Phase Butterworth Bandpass Filtering: A 4th-order forward-backward Butterworth filter with cutoff frequencies [0.7 Hz, 3.5 Hz] (corresponding to 42–210 BPM) eliminates low-frequency respiratory drift and high-frequency illumination flicker.</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Cubic Spline Upsampling: Upsamples the 30 Hz signal to 125 Hz to match clinical ECG/PPG standards and provide fine-grained temporal resolution.</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Adaptive Savitzky-Golay Polynomial Smoothing: Applies a 3rd-degree polynomial filter across a 15-point moving window to eliminate residual 8-bit quantization noise.</w:t>
      </w:r>
    </w:p>
    <w:p>
      <w:pPr>
        <w:spacing w:before="160" w:after="60"/>
        <w:jc w:val="center"/>
      </w:pPr>
      <w:r>
        <w:drawing>
          <wp:inline xmlns:a="http://schemas.openxmlformats.org/drawingml/2006/main" xmlns:pic="http://schemas.openxmlformats.org/drawingml/2006/picture">
            <wp:extent cx="5303520" cy="3162846"/>
            <wp:docPr id="5" name="Picture 5"/>
            <wp:cNvGraphicFramePr>
              <a:graphicFrameLocks noChangeAspect="1"/>
            </wp:cNvGraphicFramePr>
            <a:graphic>
              <a:graphicData uri="http://schemas.openxmlformats.org/drawingml/2006/picture">
                <pic:pic>
                  <pic:nvPicPr>
                    <pic:cNvPr id="0" name="fig2_signal_processing.png"/>
                    <pic:cNvPicPr/>
                  </pic:nvPicPr>
                  <pic:blipFill>
                    <a:blip r:embed="rId17"/>
                    <a:stretch>
                      <a:fillRect/>
                    </a:stretch>
                  </pic:blipFill>
                  <pic:spPr>
                    <a:xfrm>
                      <a:off x="0" y="0"/>
                      <a:ext cx="5303520" cy="3162846"/>
                    </a:xfrm>
                    <a:prstGeom prst="rect"/>
                  </pic:spPr>
                </pic:pic>
              </a:graphicData>
            </a:graphic>
          </wp:inline>
        </w:drawing>
      </w:r>
    </w:p>
    <w:p>
      <w:pPr>
        <w:keepNext/>
        <w:spacing w:before="40" w:after="200"/>
        <w:jc w:val="center"/>
      </w:pPr>
      <w:r>
        <w:rPr>
          <w:rFonts w:ascii="Times New Roman" w:hAnsi="Times New Roman"/>
          <w:b/>
          <w:i/>
          <w:sz w:val="20"/>
        </w:rPr>
        <w:t xml:space="preserve">Figure 4.3: </w:t>
      </w:r>
      <w:r>
        <w:rPr>
          <w:rFonts w:ascii="Times New Roman" w:hAnsi="Times New Roman"/>
          <w:i/>
          <w:sz w:val="20"/>
        </w:rPr>
        <w:t>Multi-Stage Signal Conditioning: Raw RGB traces (top), raw POS projection (middle), and final 125 Hz bandpass + Savitzky-Golay filtered Blood Volume Pulse waveform (bottom) preserving pulse peaks and dicrotic inflection.</w:t>
      </w:r>
    </w:p>
    <w:p>
      <w:pPr>
        <w:keepNext/>
        <w:spacing w:before="180" w:after="60"/>
        <w:jc w:val="left"/>
      </w:pPr>
      <w:r>
        <w:rPr>
          <w:rFonts w:ascii="Times New Roman" w:hAnsi="Times New Roman"/>
          <w:b/>
          <w:color w:val="000000"/>
          <w:sz w:val="24"/>
        </w:rPr>
        <w:t>4.5.2 Motivation</w:t>
      </w:r>
    </w:p>
    <w:p>
      <w:pPr>
        <w:spacing w:before="0" w:after="100" w:line="348" w:lineRule="auto"/>
        <w:jc w:val="both"/>
      </w:pPr>
      <w:r>
        <w:rPr>
          <w:rFonts w:ascii="Times New Roman" w:hAnsi="Times New Roman"/>
          <w:color w:val="000000"/>
          <w:sz w:val="24"/>
        </w:rPr>
        <w:t>Standard low-pass filters blur sharp physiological transitions and flatten inflection points. Because blood pressure correlates strongly with pulse wave derivative slopes and dicrotic inflection timings, preserving waveform shape without phase distortion is essential.</w:t>
      </w:r>
    </w:p>
    <w:p>
      <w:pPr>
        <w:keepNext/>
        <w:spacing w:before="180" w:after="60"/>
        <w:jc w:val="left"/>
      </w:pPr>
      <w:r>
        <w:rPr>
          <w:rFonts w:ascii="Times New Roman" w:hAnsi="Times New Roman"/>
          <w:b/>
          <w:color w:val="000000"/>
          <w:sz w:val="24"/>
        </w:rPr>
        <w:t>4.5.3 Technical Advantages</w:t>
      </w:r>
    </w:p>
    <w:p>
      <w:pPr>
        <w:spacing w:before="0" w:after="100" w:line="348" w:lineRule="auto"/>
        <w:jc w:val="both"/>
      </w:pPr>
      <w:r>
        <w:rPr>
          <w:rFonts w:ascii="Times New Roman" w:hAnsi="Times New Roman"/>
          <w:color w:val="000000"/>
          <w:sz w:val="24"/>
        </w:rPr>
        <w:t>Savitzky-Golay filtering preserves higher-order derivatives (velocity plethysmogram VPG and acceleration plethysmogram APG), ensuring that deep learning models receive clean, morphologically intact physiological inputs.</w:t>
      </w:r>
    </w:p>
    <w:p>
      <w:pPr>
        <w:keepNext/>
        <w:spacing w:before="240" w:after="80"/>
        <w:jc w:val="left"/>
      </w:pPr>
      <w:r>
        <w:rPr>
          <w:rFonts w:ascii="Times New Roman" w:hAnsi="Times New Roman"/>
          <w:b/>
          <w:color w:val="000000"/>
          <w:sz w:val="26"/>
        </w:rPr>
        <w:t>4.6 Module 5: Hemodynamic &amp; Morphological Feature Engineering</w:t>
      </w:r>
    </w:p>
    <w:p>
      <w:pPr>
        <w:keepNext/>
        <w:spacing w:before="180" w:after="60"/>
        <w:jc w:val="left"/>
      </w:pPr>
      <w:r>
        <w:rPr>
          <w:rFonts w:ascii="Times New Roman" w:hAnsi="Times New Roman"/>
          <w:b/>
          <w:color w:val="000000"/>
          <w:sz w:val="24"/>
        </w:rPr>
        <w:t>4.6.1 Module Design</w:t>
      </w:r>
    </w:p>
    <w:p>
      <w:pPr>
        <w:spacing w:before="0" w:after="100" w:line="348" w:lineRule="auto"/>
        <w:jc w:val="both"/>
      </w:pPr>
      <w:r>
        <w:rPr>
          <w:rFonts w:ascii="Times New Roman" w:hAnsi="Times New Roman"/>
          <w:color w:val="000000"/>
          <w:sz w:val="24"/>
        </w:rPr>
        <w:t>From each 10-second conditioned pulse window, LuminaBP extracts 38 handcrafted physiological biomarkers categorized into four domains: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Temporal Features: Systolic rise time (t_r), diastolic decay time (t_d), total pulse duration (t_p), and systolic-to-diastolic ratio.</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Morphological &amp; Derivative Features: Augmentation Index (AIx = P_2 / P_1), Stiffness Index (SI = Body_Height / ΔT_{Dvp}), inflection area ratios, and APG wave ratios (b/a, c/a, d/a, e/a).</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Spectral Features: Dominant cardiac frequency, spectral energy distribution, spectral centroid, and spectral entropy.</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Heart Rate Variability (HRV) Features: Mean Inter-Beat Interval (IBI), Standard Deviation of NN intervals (SDNN), Root Mean Square of Successive Differences (RMSSD), and pNN50.</w:t>
      </w:r>
    </w:p>
    <w:p>
      <w:pPr>
        <w:keepNext/>
        <w:spacing w:before="180" w:after="60"/>
        <w:jc w:val="left"/>
      </w:pPr>
      <w:r>
        <w:rPr>
          <w:rFonts w:ascii="Times New Roman" w:hAnsi="Times New Roman"/>
          <w:b/>
          <w:color w:val="000000"/>
          <w:sz w:val="24"/>
        </w:rPr>
        <w:t>4.6.2 Motivation</w:t>
      </w:r>
    </w:p>
    <w:p>
      <w:pPr>
        <w:spacing w:before="0" w:after="100" w:line="348" w:lineRule="auto"/>
        <w:jc w:val="both"/>
      </w:pPr>
      <w:r>
        <w:rPr>
          <w:rFonts w:ascii="Times New Roman" w:hAnsi="Times New Roman"/>
          <w:color w:val="000000"/>
          <w:sz w:val="24"/>
        </w:rPr>
        <w:t>Combining explicit hemodynamic features with raw deep learning embeddings provides inductive physical bias, stabilizing neural training and preventing spurious correlations.</w:t>
      </w:r>
    </w:p>
    <w:p>
      <w:pPr>
        <w:keepNext/>
        <w:spacing w:before="180" w:after="60"/>
        <w:jc w:val="left"/>
      </w:pPr>
      <w:r>
        <w:rPr>
          <w:rFonts w:ascii="Times New Roman" w:hAnsi="Times New Roman"/>
          <w:b/>
          <w:color w:val="000000"/>
          <w:sz w:val="24"/>
        </w:rPr>
        <w:t>4.6.3 Technical Advantages</w:t>
      </w:r>
    </w:p>
    <w:p>
      <w:pPr>
        <w:spacing w:before="0" w:after="100" w:line="348" w:lineRule="auto"/>
        <w:jc w:val="both"/>
      </w:pPr>
      <w:r>
        <w:rPr>
          <w:rFonts w:ascii="Times New Roman" w:hAnsi="Times New Roman"/>
          <w:color w:val="000000"/>
          <w:sz w:val="24"/>
        </w:rPr>
        <w:t>These features directly capture autonomic tone and vascular elasticity, providing explicit physiological anchors that correlate strongly with both SBP and DBP.</w:t>
      </w:r>
    </w:p>
    <w:p>
      <w:pPr>
        <w:keepNext/>
        <w:spacing w:before="240" w:after="80"/>
        <w:jc w:val="left"/>
      </w:pPr>
      <w:r>
        <w:rPr>
          <w:rFonts w:ascii="Times New Roman" w:hAnsi="Times New Roman"/>
          <w:b/>
          <w:color w:val="000000"/>
          <w:sz w:val="26"/>
        </w:rPr>
        <w:t>4.7 Module 6: Deep Sequential Architecture — MODEL-06-SepHead</w:t>
      </w:r>
    </w:p>
    <w:p>
      <w:pPr>
        <w:keepNext/>
        <w:spacing w:before="180" w:after="60"/>
        <w:jc w:val="left"/>
      </w:pPr>
      <w:r>
        <w:rPr>
          <w:rFonts w:ascii="Times New Roman" w:hAnsi="Times New Roman"/>
          <w:b/>
          <w:color w:val="000000"/>
          <w:sz w:val="24"/>
        </w:rPr>
        <w:t>4.7.1 Module Design</w:t>
      </w:r>
    </w:p>
    <w:p>
      <w:pPr>
        <w:spacing w:before="0" w:after="100" w:line="348" w:lineRule="auto"/>
        <w:jc w:val="both"/>
      </w:pPr>
      <w:r>
        <w:rPr>
          <w:rFonts w:ascii="Times New Roman" w:hAnsi="Times New Roman"/>
          <w:color w:val="000000"/>
          <w:sz w:val="24"/>
        </w:rPr>
        <w:t>The deep learning core of LuminaBP is MODEL-06-SepHead (Figure 4.4), a hybrid multi-scale architecture comprising four specialized stages: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Multi-Scale 1D-ResNet Spatial Feature Extractor: Three parallel 1D convolutional branches with kernel sizes k ∈ {3, 7, 15} extract multi-resolution temporal features, followed by residual bottleneck layers.</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Bidirectional GRU Temporal Sequence Modeler: A 2-layer BiGRU with 128 hidden units captures forward and backward temporal pulse dynamics across the 10-second sequence.</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Multi-Head Self-Attention (MHSA): A 4-head self-attention module (d_k = 32) models non-local dependencies between cardiac cycles.</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Decoupled SBP and DBP Regression Heads: The latent representation is split into two independent multi-layer perceptron (MLP) branches, each containing Dense(64) -&gt; LayerNorm -&gt; GELU -&gt; Dropout(0.2) -&gt; Dense(1) layers.</w:t>
      </w:r>
    </w:p>
    <w:p>
      <w:pPr>
        <w:spacing w:before="160" w:after="60"/>
        <w:jc w:val="center"/>
      </w:pPr>
      <w:r>
        <w:drawing>
          <wp:inline xmlns:a="http://schemas.openxmlformats.org/drawingml/2006/main" xmlns:pic="http://schemas.openxmlformats.org/drawingml/2006/picture">
            <wp:extent cx="5303520" cy="2395083"/>
            <wp:docPr id="6" name="Picture 6"/>
            <wp:cNvGraphicFramePr>
              <a:graphicFrameLocks noChangeAspect="1"/>
            </wp:cNvGraphicFramePr>
            <a:graphic>
              <a:graphicData uri="http://schemas.openxmlformats.org/drawingml/2006/picture">
                <pic:pic>
                  <pic:nvPicPr>
                    <pic:cNvPr id="0" name="fig_model06_architecture.png"/>
                    <pic:cNvPicPr/>
                  </pic:nvPicPr>
                  <pic:blipFill>
                    <a:blip r:embed="rId18"/>
                    <a:stretch>
                      <a:fillRect/>
                    </a:stretch>
                  </pic:blipFill>
                  <pic:spPr>
                    <a:xfrm>
                      <a:off x="0" y="0"/>
                      <a:ext cx="5303520" cy="2395083"/>
                    </a:xfrm>
                    <a:prstGeom prst="rect"/>
                  </pic:spPr>
                </pic:pic>
              </a:graphicData>
            </a:graphic>
          </wp:inline>
        </w:drawing>
      </w:r>
    </w:p>
    <w:p>
      <w:pPr>
        <w:keepNext/>
        <w:spacing w:before="40" w:after="200"/>
        <w:jc w:val="center"/>
      </w:pPr>
      <w:r>
        <w:rPr>
          <w:rFonts w:ascii="Times New Roman" w:hAnsi="Times New Roman"/>
          <w:b/>
          <w:i/>
          <w:sz w:val="20"/>
        </w:rPr>
        <w:t xml:space="preserve">Figure 4.4: </w:t>
      </w:r>
      <w:r>
        <w:rPr>
          <w:rFonts w:ascii="Times New Roman" w:hAnsi="Times New Roman"/>
          <w:i/>
          <w:sz w:val="20"/>
        </w:rPr>
        <w:t>MODEL-06-SepHead Deep Neural Network Architecture: Multi-scale 1D ResNet backbone, Bidirectional GRU, Multi-Head Self-Attention, and mathematically decoupled SBP and DBP regression heads.</w:t>
      </w:r>
    </w:p>
    <w:p>
      <w:pPr>
        <w:keepNext/>
        <w:spacing w:before="180" w:after="60"/>
        <w:jc w:val="left"/>
      </w:pPr>
      <w:r>
        <w:rPr>
          <w:rFonts w:ascii="Times New Roman" w:hAnsi="Times New Roman"/>
          <w:b/>
          <w:color w:val="000000"/>
          <w:sz w:val="24"/>
        </w:rPr>
        <w:t>4.7.2 Motivation</w:t>
      </w:r>
    </w:p>
    <w:p>
      <w:pPr>
        <w:spacing w:before="0" w:after="100" w:line="348" w:lineRule="auto"/>
        <w:jc w:val="both"/>
      </w:pPr>
      <w:r>
        <w:rPr>
          <w:rFonts w:ascii="Times New Roman" w:hAnsi="Times New Roman"/>
          <w:color w:val="000000"/>
          <w:sz w:val="24"/>
        </w:rPr>
        <w:t>In monolithic neural networks where a single shared dense layer outputs both [SBP, DBP], backpropagation gradients from SBP (which depends on ventricular inotropy) conflict with gradients from DBP (which depends on peripheral resistance). This causes the network to compromise on an intermediate average, inducing template collapse.</w:t>
      </w:r>
    </w:p>
    <w:p>
      <w:pPr>
        <w:keepNext/>
        <w:spacing w:before="180" w:after="60"/>
        <w:jc w:val="left"/>
      </w:pPr>
      <w:r>
        <w:rPr>
          <w:rFonts w:ascii="Times New Roman" w:hAnsi="Times New Roman"/>
          <w:b/>
          <w:color w:val="000000"/>
          <w:sz w:val="24"/>
        </w:rPr>
        <w:t>4.7.3 Technical Advantages</w:t>
      </w:r>
    </w:p>
    <w:p>
      <w:pPr>
        <w:spacing w:before="0" w:after="100" w:line="348" w:lineRule="auto"/>
        <w:jc w:val="both"/>
      </w:pPr>
      <w:r>
        <w:rPr>
          <w:rFonts w:ascii="Times New Roman" w:hAnsi="Times New Roman"/>
          <w:color w:val="000000"/>
          <w:sz w:val="24"/>
        </w:rPr>
        <w:t>Decoupled regression heads allow each output pathway to specialize its weight transformations according to distinct cardiovascular physical laws, eliminating gradient interference and boosting DBP correlation significantly.</w:t>
      </w:r>
    </w:p>
    <w:p>
      <w:pPr>
        <w:keepNext/>
        <w:spacing w:before="240" w:after="80"/>
        <w:jc w:val="left"/>
      </w:pPr>
      <w:r>
        <w:rPr>
          <w:rFonts w:ascii="Times New Roman" w:hAnsi="Times New Roman"/>
          <w:b/>
          <w:color w:val="000000"/>
          <w:sz w:val="26"/>
        </w:rPr>
        <w:t>4.8 Module 7: Calibration Strategy &amp; Signal Quality Rejection</w:t>
      </w:r>
    </w:p>
    <w:p>
      <w:pPr>
        <w:keepNext/>
        <w:spacing w:before="180" w:after="60"/>
        <w:jc w:val="left"/>
      </w:pPr>
      <w:r>
        <w:rPr>
          <w:rFonts w:ascii="Times New Roman" w:hAnsi="Times New Roman"/>
          <w:b/>
          <w:color w:val="000000"/>
          <w:sz w:val="24"/>
        </w:rPr>
        <w:t>4.8.1 Module Design</w:t>
      </w:r>
    </w:p>
    <w:p>
      <w:pPr>
        <w:spacing w:before="0" w:after="100" w:line="348" w:lineRule="auto"/>
        <w:jc w:val="both"/>
      </w:pPr>
      <w:r>
        <w:rPr>
          <w:rFonts w:ascii="Times New Roman" w:hAnsi="Times New Roman"/>
          <w:color w:val="000000"/>
          <w:sz w:val="24"/>
        </w:rPr>
        <w:t>LuminaBP incorporates a lightweight 1-point hydrostatic cuff calibration mechanism: during initial setup, a single baseline cuff measurement establishes subject-specific baseline offsets [ΔSBP, ΔDBP]. Furthermore, a Signal-to-Noise Ratio (SNR) gating module continuously computes pulse spectral power; windows with SNR &lt; -2.5 dB are rejected as invalid motion-corrupted samples.</w:t>
      </w:r>
    </w:p>
    <w:p>
      <w:pPr>
        <w:keepNext/>
        <w:spacing w:before="180" w:after="60"/>
        <w:jc w:val="left"/>
      </w:pPr>
      <w:r>
        <w:rPr>
          <w:rFonts w:ascii="Times New Roman" w:hAnsi="Times New Roman"/>
          <w:b/>
          <w:color w:val="000000"/>
          <w:sz w:val="24"/>
        </w:rPr>
        <w:t>4.8.2 Motivation</w:t>
      </w:r>
    </w:p>
    <w:p>
      <w:pPr>
        <w:spacing w:before="0" w:after="100" w:line="348" w:lineRule="auto"/>
        <w:jc w:val="both"/>
      </w:pPr>
      <w:r>
        <w:rPr>
          <w:rFonts w:ascii="Times New Roman" w:hAnsi="Times New Roman"/>
          <w:color w:val="000000"/>
          <w:sz w:val="24"/>
        </w:rPr>
        <w:t>Arterial compliance varies between individuals based on age, sex, and vascular remodeling. Single-point calibration aligns the model’s baseline while preserving dynamic tracking of relative BP fluctuations.</w:t>
      </w:r>
    </w:p>
    <w:p>
      <w:pPr>
        <w:keepNext/>
        <w:spacing w:before="180" w:after="60"/>
        <w:jc w:val="left"/>
      </w:pPr>
      <w:r>
        <w:rPr>
          <w:rFonts w:ascii="Times New Roman" w:hAnsi="Times New Roman"/>
          <w:b/>
          <w:color w:val="000000"/>
          <w:sz w:val="24"/>
        </w:rPr>
        <w:t>4.8.3 Technical Advantages</w:t>
      </w:r>
    </w:p>
    <w:p>
      <w:pPr>
        <w:spacing w:before="0" w:after="100" w:line="348" w:lineRule="auto"/>
        <w:jc w:val="both"/>
      </w:pPr>
      <w:r>
        <w:rPr>
          <w:rFonts w:ascii="Times New Roman" w:hAnsi="Times New Roman"/>
          <w:color w:val="000000"/>
          <w:sz w:val="24"/>
        </w:rPr>
        <w:t>Calibration reduces absolute error offsets across diverse demographic cohorts without requiring retraining, ensuring robust out-of-the-box clinical utility.</w:t>
      </w:r>
    </w:p>
    <w:p>
      <w:r>
        <w:br w:type="page"/>
      </w:r>
    </w:p>
    <w:p>
      <w:pPr>
        <w:keepNext/>
        <w:spacing w:before="320" w:after="60"/>
        <w:jc w:val="center"/>
      </w:pPr>
      <w:r>
        <w:rPr>
          <w:rFonts w:ascii="Times New Roman" w:hAnsi="Times New Roman"/>
          <w:b/>
          <w:color w:val="000000"/>
          <w:sz w:val="30"/>
        </w:rPr>
        <w:t>CHAPTER-05</w:t>
      </w:r>
    </w:p>
    <w:p>
      <w:pPr>
        <w:keepNext/>
        <w:spacing w:before="60" w:after="280"/>
        <w:jc w:val="center"/>
      </w:pPr>
      <w:r>
        <w:rPr>
          <w:rFonts w:ascii="Times New Roman" w:hAnsi="Times New Roman"/>
          <w:b/>
          <w:color w:val="000000"/>
          <w:sz w:val="30"/>
        </w:rPr>
        <w:t>IMPLEMENTATION DETAILS &amp; EXPERIMENTAL PROTOCOL</w:t>
      </w:r>
    </w:p>
    <w:p>
      <w:pPr>
        <w:spacing w:before="0" w:after="100" w:line="348" w:lineRule="auto"/>
        <w:jc w:val="both"/>
      </w:pPr>
      <w:r>
        <w:rPr>
          <w:rFonts w:ascii="Times New Roman" w:hAnsi="Times New Roman"/>
          <w:color w:val="000000"/>
          <w:sz w:val="24"/>
        </w:rPr>
        <w:t>This chapter provides the technical and operational details of the LuminaBP experimental setup, including the software and hardware frameworks, dataset preparation and curation, subject-isolated partitioning protocols, neural network optimization, and on-device mobile Android engineering.</w:t>
      </w:r>
    </w:p>
    <w:p>
      <w:pPr>
        <w:keepNext/>
        <w:spacing w:before="240" w:after="80"/>
        <w:jc w:val="left"/>
      </w:pPr>
      <w:r>
        <w:rPr>
          <w:rFonts w:ascii="Times New Roman" w:hAnsi="Times New Roman"/>
          <w:b/>
          <w:color w:val="000000"/>
          <w:sz w:val="26"/>
        </w:rPr>
        <w:t>5.1 Computing Environment, Frameworks, and Libraries</w:t>
      </w:r>
    </w:p>
    <w:p>
      <w:pPr>
        <w:spacing w:before="0" w:after="100" w:line="348" w:lineRule="auto"/>
        <w:jc w:val="both"/>
      </w:pPr>
      <w:r>
        <w:rPr>
          <w:rFonts w:ascii="Times New Roman" w:hAnsi="Times New Roman"/>
          <w:color w:val="000000"/>
          <w:sz w:val="24"/>
        </w:rPr>
        <w:t>The LuminaBP development workflow was constructed using modular open-source software libraries, ensuring reproducible signal processing, neural network training, and mobile deployment. Table 5.1 details the software environment.</w:t>
      </w:r>
    </w:p>
    <w:p>
      <w:pPr>
        <w:keepNext/>
        <w:spacing w:before="200" w:after="60"/>
        <w:jc w:val="center"/>
      </w:pPr>
      <w:r>
        <w:rPr>
          <w:rFonts w:ascii="Times New Roman" w:hAnsi="Times New Roman"/>
          <w:b/>
          <w:sz w:val="23"/>
        </w:rPr>
        <w:t xml:space="preserve">Table 5.1: </w:t>
      </w:r>
      <w:r>
        <w:rPr>
          <w:rFonts w:ascii="Times New Roman" w:hAnsi="Times New Roman"/>
          <w:b/>
          <w:sz w:val="23"/>
        </w:rPr>
        <w:t>Software Stack and Computational Frameworks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880"/>
        <w:gridCol w:w="2880"/>
        <w:gridCol w:w="2880"/>
      </w:tblGrid>
      <w:tr>
        <w:trPr>
          <w:cantSplit/>
          <w:tblHeader/>
        </w:trPr>
        <w:tc>
          <w:tcPr>
            <w:tcW w:type="dxa" w:w="230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Software / Library</w:t>
            </w:r>
          </w:p>
        </w:tc>
        <w:tc>
          <w:tcPr>
            <w:tcW w:type="dxa" w:w="172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Version</w:t>
            </w:r>
          </w:p>
        </w:tc>
        <w:tc>
          <w:tcPr>
            <w:tcW w:type="dxa" w:w="518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Operational Role in LuminaBP Pipeline</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Python</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3.10.x</w:t>
            </w:r>
          </w:p>
        </w:tc>
        <w:tc>
          <w:tcPr>
            <w:tcW w:type="dxa" w:w="5184"/>
            <w:tcMar>
              <w:top w:w="50" w:type="dxa"/>
              <w:bottom w:w="50" w:type="dxa"/>
              <w:left w:w="80" w:type="dxa"/>
              <w:right w:w="80" w:type="dxa"/>
            </w:tcMar>
          </w:tcPr>
          <w:p>
            <w:pPr>
              <w:spacing w:before="10" w:after="10" w:line="252" w:lineRule="auto"/>
              <w:jc w:val="left"/>
            </w:pPr>
            <w:r>
              <w:rPr>
                <w:rFonts w:ascii="Times New Roman" w:hAnsi="Times New Roman"/>
                <w:color w:val="000000"/>
                <w:sz w:val="20"/>
              </w:rPr>
              <w:t>Primary programming language for research and training pipelines.</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PyTorch / TorchVision</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2.2.0+</w:t>
            </w:r>
          </w:p>
        </w:tc>
        <w:tc>
          <w:tcPr>
            <w:tcW w:type="dxa" w:w="51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Deep learning framework for MODEL-06-SepHead training and backpropagation.</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TensorFlow / Keras</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2.15.0</w:t>
            </w:r>
          </w:p>
        </w:tc>
        <w:tc>
          <w:tcPr>
            <w:tcW w:type="dxa" w:w="5184"/>
            <w:tcMar>
              <w:top w:w="50" w:type="dxa"/>
              <w:bottom w:w="50" w:type="dxa"/>
              <w:left w:w="80" w:type="dxa"/>
              <w:right w:w="80" w:type="dxa"/>
            </w:tcMar>
          </w:tcPr>
          <w:p>
            <w:pPr>
              <w:spacing w:before="10" w:after="10" w:line="252" w:lineRule="auto"/>
              <w:jc w:val="left"/>
            </w:pPr>
            <w:r>
              <w:rPr>
                <w:rFonts w:ascii="Times New Roman" w:hAnsi="Times New Roman"/>
                <w:color w:val="000000"/>
                <w:sz w:val="20"/>
              </w:rPr>
              <w:t>Baseline model evaluation and TFLite model quantization export.</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MediaPipe</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0.10.9</w:t>
            </w:r>
          </w:p>
        </w:tc>
        <w:tc>
          <w:tcPr>
            <w:tcW w:type="dxa" w:w="51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468-point 3D facial landmark mesh tracking and ROI segmentation.</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OpenCV (cv2)</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4.9.0</w:t>
            </w:r>
          </w:p>
        </w:tc>
        <w:tc>
          <w:tcPr>
            <w:tcW w:type="dxa" w:w="5184"/>
            <w:tcMar>
              <w:top w:w="50" w:type="dxa"/>
              <w:bottom w:w="50" w:type="dxa"/>
              <w:left w:w="80" w:type="dxa"/>
              <w:right w:w="80" w:type="dxa"/>
            </w:tcMar>
          </w:tcPr>
          <w:p>
            <w:pPr>
              <w:spacing w:before="10" w:after="10" w:line="252" w:lineRule="auto"/>
              <w:jc w:val="left"/>
            </w:pPr>
            <w:r>
              <w:rPr>
                <w:rFonts w:ascii="Times New Roman" w:hAnsi="Times New Roman"/>
                <w:color w:val="000000"/>
                <w:sz w:val="20"/>
              </w:rPr>
              <w:t>Hardware camera frame capture, colorspace conversions, and image processing.</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SciPy (scipy.signal)</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1.12.0</w:t>
            </w:r>
          </w:p>
        </w:tc>
        <w:tc>
          <w:tcPr>
            <w:tcW w:type="dxa" w:w="51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Digital Butterworth bandpass filtering and Savitzky-Golay polynomial smoothing.</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Scikit-Learn</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1.4.0</w:t>
            </w:r>
          </w:p>
        </w:tc>
        <w:tc>
          <w:tcPr>
            <w:tcW w:type="dxa" w:w="5184"/>
            <w:tcMar>
              <w:top w:w="50" w:type="dxa"/>
              <w:bottom w:w="50" w:type="dxa"/>
              <w:left w:w="80" w:type="dxa"/>
              <w:right w:w="80" w:type="dxa"/>
            </w:tcMar>
          </w:tcPr>
          <w:p>
            <w:pPr>
              <w:spacing w:before="10" w:after="10" w:line="252" w:lineRule="auto"/>
              <w:jc w:val="left"/>
            </w:pPr>
            <w:r>
              <w:rPr>
                <w:rFonts w:ascii="Times New Roman" w:hAnsi="Times New Roman"/>
                <w:color w:val="000000"/>
                <w:sz w:val="20"/>
              </w:rPr>
              <w:t>Statistical regression baselines, feature scaling, and validation metrics.</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Android Studio / SDK</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Iguana / SDK 34</w:t>
            </w:r>
          </w:p>
        </w:tc>
        <w:tc>
          <w:tcPr>
            <w:tcW w:type="dxa" w:w="518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Native mobile development environment for Android OS.</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TensorFlow Lite (TFLite)</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2.15.0</w:t>
            </w:r>
          </w:p>
        </w:tc>
        <w:tc>
          <w:tcPr>
            <w:tcW w:type="dxa" w:w="5184"/>
            <w:tcMar>
              <w:top w:w="50" w:type="dxa"/>
              <w:bottom w:w="50" w:type="dxa"/>
              <w:left w:w="80" w:type="dxa"/>
              <w:right w:w="80" w:type="dxa"/>
            </w:tcMar>
          </w:tcPr>
          <w:p>
            <w:pPr>
              <w:spacing w:before="10" w:after="10" w:line="252" w:lineRule="auto"/>
              <w:jc w:val="left"/>
            </w:pPr>
            <w:r>
              <w:rPr>
                <w:rFonts w:ascii="Times New Roman" w:hAnsi="Times New Roman"/>
                <w:color w:val="000000"/>
                <w:sz w:val="20"/>
              </w:rPr>
              <w:t>Edge inference engine for on-device mobile neural execution.</w:t>
            </w:r>
          </w:p>
        </w:tc>
      </w:tr>
    </w:tbl>
    <w:p>
      <w:pPr>
        <w:spacing w:before="0" w:after="120"/>
      </w:pPr>
    </w:p>
    <w:p>
      <w:pPr>
        <w:keepNext/>
        <w:spacing w:before="240" w:after="80"/>
        <w:jc w:val="left"/>
      </w:pPr>
      <w:r>
        <w:rPr>
          <w:rFonts w:ascii="Times New Roman" w:hAnsi="Times New Roman"/>
          <w:b/>
          <w:color w:val="000000"/>
          <w:sz w:val="26"/>
        </w:rPr>
        <w:t>5.2 Hardware Specifications &amp; Mobile Testbeds</w:t>
      </w:r>
    </w:p>
    <w:p>
      <w:pPr>
        <w:spacing w:before="0" w:after="100" w:line="348" w:lineRule="auto"/>
        <w:jc w:val="both"/>
      </w:pPr>
      <w:r>
        <w:rPr>
          <w:rFonts w:ascii="Times New Roman" w:hAnsi="Times New Roman"/>
          <w:color w:val="000000"/>
          <w:sz w:val="24"/>
        </w:rPr>
        <w:t>Experimental training and edge deployment were conducted across two dedicated computing environments, detailed in Table 5.2.</w:t>
      </w:r>
    </w:p>
    <w:p>
      <w:pPr>
        <w:keepNext/>
        <w:spacing w:before="200" w:after="60"/>
        <w:jc w:val="center"/>
      </w:pPr>
      <w:r>
        <w:rPr>
          <w:rFonts w:ascii="Times New Roman" w:hAnsi="Times New Roman"/>
          <w:b/>
          <w:sz w:val="23"/>
        </w:rPr>
        <w:t xml:space="preserve">Table 5.2: </w:t>
      </w:r>
      <w:r>
        <w:rPr>
          <w:rFonts w:ascii="Times New Roman" w:hAnsi="Times New Roman"/>
          <w:b/>
          <w:sz w:val="23"/>
        </w:rPr>
        <w:t>Hardware Specifications for Training and On-Device Mobile Inference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880"/>
        <w:gridCol w:w="2880"/>
        <w:gridCol w:w="2880"/>
      </w:tblGrid>
      <w:tr>
        <w:trPr>
          <w:cantSplit/>
          <w:tblHeader/>
        </w:trPr>
        <w:tc>
          <w:tcPr>
            <w:tcW w:type="dxa" w:w="216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Platform Category</w:t>
            </w:r>
          </w:p>
        </w:tc>
        <w:tc>
          <w:tcPr>
            <w:tcW w:type="dxa" w:w="259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Hardware Component</w:t>
            </w:r>
          </w:p>
        </w:tc>
        <w:tc>
          <w:tcPr>
            <w:tcW w:type="dxa" w:w="446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Technical Specification</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Training Workstation</w:t>
            </w:r>
          </w:p>
        </w:tc>
        <w:tc>
          <w:tcPr>
            <w:tcW w:type="dxa" w:w="2592"/>
            <w:tcMar>
              <w:top w:w="50" w:type="dxa"/>
              <w:bottom w:w="50" w:type="dxa"/>
              <w:left w:w="80" w:type="dxa"/>
              <w:right w:w="80" w:type="dxa"/>
            </w:tcMar>
          </w:tcPr>
          <w:p>
            <w:pPr>
              <w:spacing w:before="10" w:after="10" w:line="252" w:lineRule="auto"/>
              <w:jc w:val="center"/>
            </w:pPr>
            <w:r>
              <w:rPr>
                <w:rFonts w:ascii="Times New Roman" w:hAnsi="Times New Roman"/>
                <w:color w:val="000000"/>
                <w:sz w:val="20"/>
              </w:rPr>
              <w:t>Host Processor (CPU)</w:t>
            </w:r>
          </w:p>
        </w:tc>
        <w:tc>
          <w:tcPr>
            <w:tcW w:type="dxa" w:w="4464"/>
            <w:tcMar>
              <w:top w:w="50" w:type="dxa"/>
              <w:bottom w:w="50" w:type="dxa"/>
              <w:left w:w="80" w:type="dxa"/>
              <w:right w:w="80" w:type="dxa"/>
            </w:tcMar>
          </w:tcPr>
          <w:p>
            <w:pPr>
              <w:spacing w:before="10" w:after="10" w:line="252" w:lineRule="auto"/>
              <w:jc w:val="left"/>
            </w:pPr>
            <w:r>
              <w:rPr>
                <w:rFonts w:ascii="Times New Roman" w:hAnsi="Times New Roman"/>
                <w:color w:val="000000"/>
                <w:sz w:val="20"/>
              </w:rPr>
              <w:t>Intel Xeon Single Core (2 vCPUs @ 2.20 GHz)</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Training Workstation</w:t>
            </w:r>
          </w:p>
        </w:tc>
        <w:tc>
          <w:tcPr>
            <w:tcW w:type="dxa" w:w="259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System Memory (RAM)</w:t>
            </w:r>
          </w:p>
        </w:tc>
        <w:tc>
          <w:tcPr>
            <w:tcW w:type="dxa" w:w="44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12 GB DDR5 RAM</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Training Workstation</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Dedicated Accelerator (GPU)</w:t>
            </w:r>
          </w:p>
        </w:tc>
        <w:tc>
          <w:tcPr>
            <w:tcW w:type="dxa" w:w="4464"/>
            <w:tcMar>
              <w:top w:w="50" w:type="dxa"/>
              <w:bottom w:w="50" w:type="dxa"/>
              <w:left w:w="80" w:type="dxa"/>
              <w:right w:w="80" w:type="dxa"/>
            </w:tcMar>
          </w:tcPr>
          <w:p>
            <w:pPr>
              <w:spacing w:before="10" w:after="10" w:line="252" w:lineRule="auto"/>
              <w:jc w:val="left"/>
            </w:pPr>
            <w:r>
              <w:rPr>
                <w:rFonts w:ascii="Times New Roman" w:hAnsi="Times New Roman"/>
                <w:color w:val="000000"/>
                <w:sz w:val="20"/>
              </w:rPr>
              <w:t>NVIDIA Tesla T4 (16 GB GDDR6 VRAM, CUDA 12.x)</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Training Workstation</w:t>
            </w:r>
          </w:p>
        </w:tc>
        <w:tc>
          <w:tcPr>
            <w:tcW w:type="dxa" w:w="259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High-Speed Storage</w:t>
            </w:r>
          </w:p>
        </w:tc>
        <w:tc>
          <w:tcPr>
            <w:tcW w:type="dxa" w:w="446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100 GB High-Throughput NVMe Storage</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Mobile Edge Device</w:t>
            </w:r>
          </w:p>
        </w:tc>
        <w:tc>
          <w:tcPr>
            <w:tcW w:type="dxa" w:w="2592"/>
            <w:tcMar>
              <w:top w:w="50" w:type="dxa"/>
              <w:bottom w:w="50" w:type="dxa"/>
              <w:left w:w="80" w:type="dxa"/>
              <w:right w:w="80" w:type="dxa"/>
            </w:tcMar>
          </w:tcPr>
          <w:p>
            <w:pPr>
              <w:spacing w:before="10" w:after="10" w:line="252" w:lineRule="auto"/>
              <w:jc w:val="center"/>
            </w:pPr>
            <w:r>
              <w:rPr>
                <w:rFonts w:ascii="Times New Roman" w:hAnsi="Times New Roman"/>
                <w:color w:val="000000"/>
                <w:sz w:val="20"/>
              </w:rPr>
              <w:t>Mobile SoC / CPU</w:t>
            </w:r>
          </w:p>
        </w:tc>
        <w:tc>
          <w:tcPr>
            <w:tcW w:type="dxa" w:w="4464"/>
            <w:tcMar>
              <w:top w:w="50" w:type="dxa"/>
              <w:bottom w:w="50" w:type="dxa"/>
              <w:left w:w="80" w:type="dxa"/>
              <w:right w:w="80" w:type="dxa"/>
            </w:tcMar>
          </w:tcPr>
          <w:p>
            <w:pPr>
              <w:spacing w:before="10" w:after="10" w:line="252" w:lineRule="auto"/>
              <w:jc w:val="left"/>
            </w:pPr>
            <w:r>
              <w:rPr>
                <w:rFonts w:ascii="Times New Roman" w:hAnsi="Times New Roman"/>
                <w:color w:val="000000"/>
                <w:sz w:val="20"/>
              </w:rPr>
              <w:t>Qualcomm Snapdragon 4 Gen 2 (4nm, Octa-Core: 2x 2.2 GHz A78 + 6x 2.0 GHz A55)</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Mobile Edge Device</w:t>
            </w:r>
          </w:p>
        </w:tc>
        <w:tc>
          <w:tcPr>
            <w:tcW w:type="dxa" w:w="259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Mobile GPU</w:t>
            </w:r>
          </w:p>
        </w:tc>
        <w:tc>
          <w:tcPr>
            <w:tcW w:type="dxa" w:w="446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Qualcomm Adreno 613 GPU</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Mobile Edge Device</w:t>
            </w:r>
          </w:p>
        </w:tc>
        <w:tc>
          <w:tcPr>
            <w:tcW w:type="dxa" w:w="2592"/>
            <w:tcMar>
              <w:top w:w="50" w:type="dxa"/>
              <w:bottom w:w="50" w:type="dxa"/>
              <w:left w:w="80" w:type="dxa"/>
              <w:right w:w="80" w:type="dxa"/>
            </w:tcMar>
          </w:tcPr>
          <w:p>
            <w:pPr>
              <w:spacing w:before="10" w:after="10" w:line="252" w:lineRule="auto"/>
              <w:jc w:val="center"/>
            </w:pPr>
            <w:r>
              <w:rPr>
                <w:rFonts w:ascii="Times New Roman" w:hAnsi="Times New Roman"/>
                <w:color w:val="000000"/>
                <w:sz w:val="20"/>
              </w:rPr>
              <w:t>Mobile RAM / OS</w:t>
            </w:r>
          </w:p>
        </w:tc>
        <w:tc>
          <w:tcPr>
            <w:tcW w:type="dxa" w:w="4464"/>
            <w:tcMar>
              <w:top w:w="50" w:type="dxa"/>
              <w:bottom w:w="50" w:type="dxa"/>
              <w:left w:w="80" w:type="dxa"/>
              <w:right w:w="80" w:type="dxa"/>
            </w:tcMar>
          </w:tcPr>
          <w:p>
            <w:pPr>
              <w:spacing w:before="10" w:after="10" w:line="252" w:lineRule="auto"/>
              <w:jc w:val="left"/>
            </w:pPr>
            <w:r>
              <w:rPr>
                <w:rFonts w:ascii="Times New Roman" w:hAnsi="Times New Roman"/>
                <w:color w:val="000000"/>
                <w:sz w:val="20"/>
              </w:rPr>
              <w:t>6 GB / 8 GB LPDDR4X Memory / Android 13 / 14 (API Level 33/34)</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Mobile Edge Device</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Mobile Camera Sensors</w:t>
            </w:r>
          </w:p>
        </w:tc>
        <w:tc>
          <w:tcPr>
            <w:tcW w:type="dxa" w:w="446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50 MP f/1.8 Primary Sensor / 8 MP f/2.0 Front Sensor (1080p @ 30 FPS, locked AE/AWB)</w:t>
            </w:r>
          </w:p>
        </w:tc>
      </w:tr>
    </w:tbl>
    <w:p>
      <w:pPr>
        <w:spacing w:before="0" w:after="120"/>
      </w:pPr>
    </w:p>
    <w:p>
      <w:pPr>
        <w:keepNext/>
        <w:spacing w:before="240" w:after="80"/>
        <w:jc w:val="left"/>
      </w:pPr>
      <w:r>
        <w:rPr>
          <w:rFonts w:ascii="Times New Roman" w:hAnsi="Times New Roman"/>
          <w:b/>
          <w:color w:val="000000"/>
          <w:sz w:val="26"/>
        </w:rPr>
        <w:t>5.3 Clinical Benchmark Datasets &amp; Cohort Curation</w:t>
      </w:r>
    </w:p>
    <w:p>
      <w:pPr>
        <w:spacing w:before="0" w:after="100" w:line="348" w:lineRule="auto"/>
        <w:jc w:val="both"/>
      </w:pPr>
      <w:r>
        <w:rPr>
          <w:rFonts w:ascii="Times New Roman" w:hAnsi="Times New Roman"/>
          <w:color w:val="000000"/>
          <w:sz w:val="24"/>
        </w:rPr>
        <w:t>To establish rigorous clinical validity, LuminaBP was trained and evaluated on the Multi-Camera Dataset for Remote Photoplethysmography (MCD, wengziheng/mcd_rppg). The dataset contains synchronized high-definition facial video streams recorded under varying illumination conditions along with simultaneous clinical ground-truth arterial blood pressure waveforms captured via medical-grade continuous hemodynamic monitors.</w:t>
      </w:r>
    </w:p>
    <w:p>
      <w:pPr>
        <w:spacing w:before="0" w:after="100" w:line="348" w:lineRule="auto"/>
        <w:jc w:val="both"/>
      </w:pPr>
      <w:r>
        <w:rPr>
          <w:rFonts w:ascii="Times New Roman" w:hAnsi="Times New Roman"/>
          <w:color w:val="000000"/>
          <w:sz w:val="24"/>
        </w:rPr>
        <w:t>A total of 17,943 valid 10-second observation windows across 599 unique human participants were curated. An extensive benchmark of signal extractors was conducted on this cohort, comparing POS against CHROM, ICA, and TS-CAN, as illustrated in Figure 5.1.</w:t>
      </w:r>
    </w:p>
    <w:p>
      <w:pPr>
        <w:spacing w:before="160" w:after="60"/>
        <w:jc w:val="center"/>
      </w:pPr>
      <w:r>
        <w:drawing>
          <wp:inline xmlns:a="http://schemas.openxmlformats.org/drawingml/2006/main" xmlns:pic="http://schemas.openxmlformats.org/drawingml/2006/picture">
            <wp:extent cx="5120640" cy="1948155"/>
            <wp:docPr id="7" name="Picture 7"/>
            <wp:cNvGraphicFramePr>
              <a:graphicFrameLocks noChangeAspect="1"/>
            </wp:cNvGraphicFramePr>
            <a:graphic>
              <a:graphicData uri="http://schemas.openxmlformats.org/drawingml/2006/picture">
                <pic:pic>
                  <pic:nvPicPr>
                    <pic:cNvPr id="0" name="fig_extractor_benchmark_chart.png"/>
                    <pic:cNvPicPr/>
                  </pic:nvPicPr>
                  <pic:blipFill>
                    <a:blip r:embed="rId19"/>
                    <a:stretch>
                      <a:fillRect/>
                    </a:stretch>
                  </pic:blipFill>
                  <pic:spPr>
                    <a:xfrm>
                      <a:off x="0" y="0"/>
                      <a:ext cx="5120640" cy="1948155"/>
                    </a:xfrm>
                    <a:prstGeom prst="rect"/>
                  </pic:spPr>
                </pic:pic>
              </a:graphicData>
            </a:graphic>
          </wp:inline>
        </w:drawing>
      </w:r>
    </w:p>
    <w:p>
      <w:pPr>
        <w:keepNext/>
        <w:spacing w:before="40" w:after="200"/>
        <w:jc w:val="center"/>
      </w:pPr>
      <w:r>
        <w:rPr>
          <w:rFonts w:ascii="Times New Roman" w:hAnsi="Times New Roman"/>
          <w:b/>
          <w:i/>
          <w:sz w:val="20"/>
        </w:rPr>
        <w:t xml:space="preserve">Figure 5.1: </w:t>
      </w:r>
      <w:r>
        <w:rPr>
          <w:rFonts w:ascii="Times New Roman" w:hAnsi="Times New Roman"/>
          <w:i/>
          <w:sz w:val="20"/>
        </w:rPr>
        <w:t>rPPG Signal Extractor Benchmark Performance: Comparison of Signal-to-Noise Ratio (SNR) and Heart Rate MAE across POS, CHROM, ICA, and TS-CAN extractors on the MCD dataset.</w:t>
      </w:r>
    </w:p>
    <w:p>
      <w:pPr>
        <w:keepNext/>
        <w:spacing w:before="240" w:after="80"/>
        <w:jc w:val="left"/>
      </w:pPr>
      <w:r>
        <w:rPr>
          <w:rFonts w:ascii="Times New Roman" w:hAnsi="Times New Roman"/>
          <w:b/>
          <w:color w:val="000000"/>
          <w:sz w:val="26"/>
        </w:rPr>
        <w:t>5.4 Subject-Independent Split Protocol</w:t>
      </w:r>
    </w:p>
    <w:p>
      <w:pPr>
        <w:spacing w:before="0" w:after="100" w:line="348" w:lineRule="auto"/>
        <w:jc w:val="both"/>
      </w:pPr>
      <w:r>
        <w:rPr>
          <w:rFonts w:ascii="Times New Roman" w:hAnsi="Times New Roman"/>
          <w:color w:val="000000"/>
          <w:sz w:val="24"/>
        </w:rPr>
        <w:t>A major pitfall in biomedical machine learning is subject leakage—where different windows from the same participant appear in both training and test sets, allowing the model to memorize subject-specific facial skin tones rather than learning true physiological dynamics.</w:t>
      </w:r>
    </w:p>
    <w:p>
      <w:pPr>
        <w:spacing w:before="0" w:after="100" w:line="348" w:lineRule="auto"/>
        <w:jc w:val="both"/>
      </w:pPr>
      <w:r>
        <w:rPr>
          <w:rFonts w:ascii="Times New Roman" w:hAnsi="Times New Roman"/>
          <w:color w:val="000000"/>
          <w:sz w:val="24"/>
        </w:rPr>
        <w:t>To guarantee absolute clinical validity, a strict 100% Subject-Level Partitioning scheme was enforced, as detailed in Table 5.3:</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Train ∩ Val = ∅, Train ∩ Test = ∅, Val ∩ Test = ∅.</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All recording sessions, lighting variations, and windows from any single subject remained strictly confined to one designated fold.</w:t>
      </w:r>
    </w:p>
    <w:p>
      <w:pPr>
        <w:keepNext/>
        <w:spacing w:before="200" w:after="60"/>
        <w:jc w:val="center"/>
      </w:pPr>
      <w:r>
        <w:rPr>
          <w:rFonts w:ascii="Times New Roman" w:hAnsi="Times New Roman"/>
          <w:b/>
          <w:sz w:val="23"/>
        </w:rPr>
        <w:t xml:space="preserve">Table 5.3: </w:t>
      </w:r>
      <w:r>
        <w:rPr>
          <w:rFonts w:ascii="Times New Roman" w:hAnsi="Times New Roman"/>
          <w:b/>
          <w:sz w:val="23"/>
        </w:rPr>
        <w:t>MCD Benchmark Dataset Cohort Partitioning &amp; Subject Isolation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728"/>
        <w:gridCol w:w="1728"/>
        <w:gridCol w:w="1728"/>
        <w:gridCol w:w="1728"/>
        <w:gridCol w:w="1728"/>
      </w:tblGrid>
      <w:tr>
        <w:trPr>
          <w:cantSplit/>
          <w:tblHeader/>
        </w:trPr>
        <w:tc>
          <w:tcPr>
            <w:tcW w:type="dxa" w:w="187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Partition Fold</w:t>
            </w:r>
          </w:p>
        </w:tc>
        <w:tc>
          <w:tcPr>
            <w:tcW w:type="dxa" w:w="172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Subject Count</w:t>
            </w:r>
          </w:p>
        </w:tc>
        <w:tc>
          <w:tcPr>
            <w:tcW w:type="dxa" w:w="201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Window Count (10s)</w:t>
            </w:r>
          </w:p>
        </w:tc>
        <w:tc>
          <w:tcPr>
            <w:tcW w:type="dxa" w:w="129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Percentage</w:t>
            </w:r>
          </w:p>
        </w:tc>
        <w:tc>
          <w:tcPr>
            <w:tcW w:type="dxa" w:w="230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Subject Isolation Status</w:t>
            </w:r>
          </w:p>
        </w:tc>
      </w:tr>
      <w:tr>
        <w:trPr>
          <w:cantSplit/>
        </w:trPr>
        <w:tc>
          <w:tcPr>
            <w:tcW w:type="dxa" w:w="1872"/>
            <w:tcMar>
              <w:top w:w="50" w:type="dxa"/>
              <w:bottom w:w="50" w:type="dxa"/>
              <w:left w:w="80" w:type="dxa"/>
              <w:right w:w="80" w:type="dxa"/>
            </w:tcMar>
          </w:tcPr>
          <w:p>
            <w:pPr>
              <w:spacing w:before="10" w:after="10" w:line="252" w:lineRule="auto"/>
              <w:jc w:val="left"/>
            </w:pPr>
            <w:r>
              <w:rPr>
                <w:rFonts w:ascii="Times New Roman" w:hAnsi="Times New Roman"/>
                <w:color w:val="000000"/>
                <w:sz w:val="20"/>
              </w:rPr>
              <w:t>Training Set</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419 Subjects</w:t>
            </w:r>
          </w:p>
        </w:tc>
        <w:tc>
          <w:tcPr>
            <w:tcW w:type="dxa" w:w="2016"/>
            <w:tcMar>
              <w:top w:w="50" w:type="dxa"/>
              <w:bottom w:w="50" w:type="dxa"/>
              <w:left w:w="80" w:type="dxa"/>
              <w:right w:w="80" w:type="dxa"/>
            </w:tcMar>
          </w:tcPr>
          <w:p>
            <w:pPr>
              <w:spacing w:before="10" w:after="10" w:line="252" w:lineRule="auto"/>
              <w:jc w:val="center"/>
            </w:pPr>
            <w:r>
              <w:rPr>
                <w:rFonts w:ascii="Times New Roman" w:hAnsi="Times New Roman"/>
                <w:color w:val="000000"/>
                <w:sz w:val="20"/>
              </w:rPr>
              <w:t>12,560 Windows</w:t>
            </w:r>
          </w:p>
        </w:tc>
        <w:tc>
          <w:tcPr>
            <w:tcW w:type="dxa" w:w="1296"/>
            <w:tcMar>
              <w:top w:w="50" w:type="dxa"/>
              <w:bottom w:w="50" w:type="dxa"/>
              <w:left w:w="80" w:type="dxa"/>
              <w:right w:w="80" w:type="dxa"/>
            </w:tcMar>
          </w:tcPr>
          <w:p>
            <w:pPr>
              <w:spacing w:before="10" w:after="10" w:line="252" w:lineRule="auto"/>
              <w:jc w:val="center"/>
            </w:pPr>
            <w:r>
              <w:rPr>
                <w:rFonts w:ascii="Times New Roman" w:hAnsi="Times New Roman"/>
                <w:color w:val="000000"/>
                <w:sz w:val="20"/>
              </w:rPr>
              <w:t>70.0%</w:t>
            </w:r>
          </w:p>
        </w:tc>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Strictly Isolated (0 Overlap)</w:t>
            </w:r>
          </w:p>
        </w:tc>
      </w:tr>
      <w:tr>
        <w:trPr>
          <w:cantSplit/>
        </w:trPr>
        <w:tc>
          <w:tcPr>
            <w:tcW w:type="dxa" w:w="187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Validation Set</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90 Subjects</w:t>
            </w:r>
          </w:p>
        </w:tc>
        <w:tc>
          <w:tcPr>
            <w:tcW w:type="dxa" w:w="2016"/>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2,692 Windows</w:t>
            </w:r>
          </w:p>
        </w:tc>
        <w:tc>
          <w:tcPr>
            <w:tcW w:type="dxa" w:w="1296"/>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15.0%</w:t>
            </w:r>
          </w:p>
        </w:tc>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Strictly Isolated (0 Overlap)</w:t>
            </w:r>
          </w:p>
        </w:tc>
      </w:tr>
      <w:tr>
        <w:trPr>
          <w:cantSplit/>
        </w:trPr>
        <w:tc>
          <w:tcPr>
            <w:tcW w:type="dxa" w:w="1872"/>
            <w:tcMar>
              <w:top w:w="50" w:type="dxa"/>
              <w:bottom w:w="50" w:type="dxa"/>
              <w:left w:w="80" w:type="dxa"/>
              <w:right w:w="80" w:type="dxa"/>
            </w:tcMar>
          </w:tcPr>
          <w:p>
            <w:pPr>
              <w:spacing w:before="10" w:after="10" w:line="252" w:lineRule="auto"/>
              <w:jc w:val="left"/>
            </w:pPr>
            <w:r>
              <w:rPr>
                <w:rFonts w:ascii="Times New Roman" w:hAnsi="Times New Roman"/>
                <w:color w:val="000000"/>
                <w:sz w:val="20"/>
              </w:rPr>
              <w:t>Testing Set</w:t>
            </w:r>
          </w:p>
        </w:tc>
        <w:tc>
          <w:tcPr>
            <w:tcW w:type="dxa" w:w="1728"/>
            <w:tcMar>
              <w:top w:w="50" w:type="dxa"/>
              <w:bottom w:w="50" w:type="dxa"/>
              <w:left w:w="80" w:type="dxa"/>
              <w:right w:w="80" w:type="dxa"/>
            </w:tcMar>
          </w:tcPr>
          <w:p>
            <w:pPr>
              <w:spacing w:before="10" w:after="10" w:line="252" w:lineRule="auto"/>
              <w:jc w:val="center"/>
            </w:pPr>
            <w:r>
              <w:rPr>
                <w:rFonts w:ascii="Times New Roman" w:hAnsi="Times New Roman"/>
                <w:color w:val="000000"/>
                <w:sz w:val="20"/>
              </w:rPr>
              <w:t>90 Subjects</w:t>
            </w:r>
          </w:p>
        </w:tc>
        <w:tc>
          <w:tcPr>
            <w:tcW w:type="dxa" w:w="2016"/>
            <w:tcMar>
              <w:top w:w="50" w:type="dxa"/>
              <w:bottom w:w="50" w:type="dxa"/>
              <w:left w:w="80" w:type="dxa"/>
              <w:right w:w="80" w:type="dxa"/>
            </w:tcMar>
          </w:tcPr>
          <w:p>
            <w:pPr>
              <w:spacing w:before="10" w:after="10" w:line="252" w:lineRule="auto"/>
              <w:jc w:val="center"/>
            </w:pPr>
            <w:r>
              <w:rPr>
                <w:rFonts w:ascii="Times New Roman" w:hAnsi="Times New Roman"/>
                <w:color w:val="000000"/>
                <w:sz w:val="20"/>
              </w:rPr>
              <w:t>2,691 Windows</w:t>
            </w:r>
          </w:p>
        </w:tc>
        <w:tc>
          <w:tcPr>
            <w:tcW w:type="dxa" w:w="1296"/>
            <w:tcMar>
              <w:top w:w="50" w:type="dxa"/>
              <w:bottom w:w="50" w:type="dxa"/>
              <w:left w:w="80" w:type="dxa"/>
              <w:right w:w="80" w:type="dxa"/>
            </w:tcMar>
          </w:tcPr>
          <w:p>
            <w:pPr>
              <w:spacing w:before="10" w:after="10" w:line="252" w:lineRule="auto"/>
              <w:jc w:val="center"/>
            </w:pPr>
            <w:r>
              <w:rPr>
                <w:rFonts w:ascii="Times New Roman" w:hAnsi="Times New Roman"/>
                <w:color w:val="000000"/>
                <w:sz w:val="20"/>
              </w:rPr>
              <w:t>15.0%</w:t>
            </w:r>
          </w:p>
        </w:tc>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Strictly Isolated (0 Overlap)</w:t>
            </w:r>
          </w:p>
        </w:tc>
      </w:tr>
      <w:tr>
        <w:trPr>
          <w:cantSplit/>
        </w:trPr>
        <w:tc>
          <w:tcPr>
            <w:tcW w:type="dxa" w:w="187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Total Cohort</w:t>
            </w:r>
          </w:p>
        </w:tc>
        <w:tc>
          <w:tcPr>
            <w:tcW w:type="dxa" w:w="1728"/>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599 Subjects</w:t>
            </w:r>
          </w:p>
        </w:tc>
        <w:tc>
          <w:tcPr>
            <w:tcW w:type="dxa" w:w="2016"/>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17,943 Windows</w:t>
            </w:r>
          </w:p>
        </w:tc>
        <w:tc>
          <w:tcPr>
            <w:tcW w:type="dxa" w:w="1296"/>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100.0%</w:t>
            </w:r>
          </w:p>
        </w:tc>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100% Subject-Level Independence</w:t>
            </w:r>
          </w:p>
        </w:tc>
      </w:tr>
    </w:tbl>
    <w:p>
      <w:pPr>
        <w:spacing w:before="0" w:after="120"/>
      </w:pPr>
    </w:p>
    <w:p>
      <w:pPr>
        <w:keepNext/>
        <w:spacing w:before="240" w:after="80"/>
        <w:jc w:val="left"/>
      </w:pPr>
      <w:r>
        <w:rPr>
          <w:rFonts w:ascii="Times New Roman" w:hAnsi="Times New Roman"/>
          <w:b/>
          <w:color w:val="000000"/>
          <w:sz w:val="26"/>
        </w:rPr>
        <w:t>5.5 Model Training Protocol, Loss Formulations &amp; Optimization</w:t>
      </w:r>
    </w:p>
    <w:p>
      <w:pPr>
        <w:spacing w:before="0" w:after="100" w:line="348" w:lineRule="auto"/>
        <w:jc w:val="both"/>
      </w:pPr>
      <w:r>
        <w:rPr>
          <w:rFonts w:ascii="Times New Roman" w:hAnsi="Times New Roman"/>
          <w:color w:val="000000"/>
          <w:sz w:val="24"/>
        </w:rPr>
        <w:t>To mitigate regression-to-the-mean, LuminaBP is trained using a composite multi-objective loss function combining Huber Loss (which is quadratic for small errors and linear for large outliers) with an explicit Pearson Correlation Regularization penalty:</w:t>
      </w:r>
    </w:p>
    <w:p>
      <w:pPr>
        <w:spacing w:before="0" w:after="100" w:line="348" w:lineRule="auto"/>
        <w:jc w:val="both"/>
      </w:pPr>
      <w:r>
        <w:rPr>
          <w:rFonts w:ascii="Times New Roman" w:hAnsi="Times New Roman"/>
          <w:color w:val="000000"/>
          <w:sz w:val="24"/>
        </w:rPr>
        <w:t>L_{total} = L_{Huber}(y_{sbp}, ŷ_{sbp}) + L_{Huber}(y_{dbp}, ŷ_{dbp}) - λ_r · [r(y_{sbp}, ŷ_{sbp}) + r(y_{dbp}, ŷ_{dbp})]</w:t>
      </w:r>
    </w:p>
    <w:p>
      <w:pPr>
        <w:spacing w:before="0" w:after="100" w:line="348" w:lineRule="auto"/>
        <w:jc w:val="both"/>
      </w:pPr>
      <w:r>
        <w:rPr>
          <w:rFonts w:ascii="Times New Roman" w:hAnsi="Times New Roman"/>
          <w:color w:val="000000"/>
          <w:sz w:val="24"/>
        </w:rPr>
        <w:t>where λ_r = 0.2 is the correlation weighting factor, enforcing that predicted trajectories track true hemodynamic swings rather than collapsing to static constants.</w:t>
      </w:r>
    </w:p>
    <w:p>
      <w:pPr>
        <w:spacing w:before="0" w:after="100" w:line="348" w:lineRule="auto"/>
        <w:jc w:val="both"/>
      </w:pPr>
      <w:r>
        <w:rPr>
          <w:rFonts w:ascii="Times New Roman" w:hAnsi="Times New Roman"/>
          <w:color w:val="000000"/>
          <w:sz w:val="24"/>
        </w:rPr>
        <w:t>Table 5.4 outlines the complete hyperparameter configuration employed during model optimization.</w:t>
      </w:r>
    </w:p>
    <w:p>
      <w:pPr>
        <w:keepNext/>
        <w:spacing w:before="200" w:after="60"/>
        <w:jc w:val="center"/>
      </w:pPr>
      <w:r>
        <w:rPr>
          <w:rFonts w:ascii="Times New Roman" w:hAnsi="Times New Roman"/>
          <w:b/>
          <w:sz w:val="23"/>
        </w:rPr>
        <w:t xml:space="preserve">Table 5.4: </w:t>
      </w:r>
      <w:r>
        <w:rPr>
          <w:rFonts w:ascii="Times New Roman" w:hAnsi="Times New Roman"/>
          <w:b/>
          <w:sz w:val="23"/>
        </w:rPr>
        <w:t>Hyperparameter Configurations for MODEL-06-SepHead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880"/>
        <w:gridCol w:w="2880"/>
        <w:gridCol w:w="2880"/>
      </w:tblGrid>
      <w:tr>
        <w:trPr>
          <w:cantSplit/>
          <w:tblHeader/>
        </w:trPr>
        <w:tc>
          <w:tcPr>
            <w:tcW w:type="dxa" w:w="230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Hyperparameter</w:t>
            </w:r>
          </w:p>
        </w:tc>
        <w:tc>
          <w:tcPr>
            <w:tcW w:type="dxa" w:w="230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Configured Value</w:t>
            </w:r>
          </w:p>
        </w:tc>
        <w:tc>
          <w:tcPr>
            <w:tcW w:type="dxa" w:w="460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Technical Rationale</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Input Dimension</w:t>
            </w:r>
          </w:p>
        </w:tc>
        <w:tc>
          <w:tcPr>
            <w:tcW w:type="dxa" w:w="2304"/>
            <w:tcMar>
              <w:top w:w="50" w:type="dxa"/>
              <w:bottom w:w="50" w:type="dxa"/>
              <w:left w:w="80" w:type="dxa"/>
              <w:right w:w="80" w:type="dxa"/>
            </w:tcMar>
          </w:tcPr>
          <w:p>
            <w:pPr>
              <w:spacing w:before="10" w:after="10" w:line="252" w:lineRule="auto"/>
              <w:jc w:val="center"/>
            </w:pPr>
            <w:r>
              <w:rPr>
                <w:rFonts w:ascii="Times New Roman" w:hAnsi="Times New Roman"/>
                <w:color w:val="000000"/>
                <w:sz w:val="20"/>
              </w:rPr>
              <w:t>(1250, 1) @ 125 Hz</w:t>
            </w:r>
          </w:p>
        </w:tc>
        <w:tc>
          <w:tcPr>
            <w:tcW w:type="dxa" w:w="4608"/>
            <w:tcMar>
              <w:top w:w="50" w:type="dxa"/>
              <w:bottom w:w="50" w:type="dxa"/>
              <w:left w:w="80" w:type="dxa"/>
              <w:right w:w="80" w:type="dxa"/>
            </w:tcMar>
          </w:tcPr>
          <w:p>
            <w:pPr>
              <w:spacing w:before="10" w:after="10" w:line="252" w:lineRule="auto"/>
              <w:jc w:val="left"/>
            </w:pPr>
            <w:r>
              <w:rPr>
                <w:rFonts w:ascii="Times New Roman" w:hAnsi="Times New Roman"/>
                <w:color w:val="000000"/>
                <w:sz w:val="20"/>
              </w:rPr>
              <w:t>10-second conditioned rPPG pulse sequence.</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Batch Size</w:t>
            </w:r>
          </w:p>
        </w:tc>
        <w:tc>
          <w:tcPr>
            <w:tcW w:type="dxa" w:w="230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64 Windows</w:t>
            </w:r>
          </w:p>
        </w:tc>
        <w:tc>
          <w:tcPr>
            <w:tcW w:type="dxa" w:w="460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Balances stochastic gradient noise with GPU parallelization.</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Optimizer</w:t>
            </w:r>
          </w:p>
        </w:tc>
        <w:tc>
          <w:tcPr>
            <w:tcW w:type="dxa" w:w="2304"/>
            <w:tcMar>
              <w:top w:w="50" w:type="dxa"/>
              <w:bottom w:w="50" w:type="dxa"/>
              <w:left w:w="80" w:type="dxa"/>
              <w:right w:w="80" w:type="dxa"/>
            </w:tcMar>
          </w:tcPr>
          <w:p>
            <w:pPr>
              <w:spacing w:before="10" w:after="10" w:line="252" w:lineRule="auto"/>
              <w:jc w:val="center"/>
            </w:pPr>
            <w:r>
              <w:rPr>
                <w:rFonts w:ascii="Times New Roman" w:hAnsi="Times New Roman"/>
                <w:color w:val="000000"/>
                <w:sz w:val="20"/>
              </w:rPr>
              <w:t>AdamW</w:t>
            </w:r>
          </w:p>
        </w:tc>
        <w:tc>
          <w:tcPr>
            <w:tcW w:type="dxa" w:w="4608"/>
            <w:tcMar>
              <w:top w:w="50" w:type="dxa"/>
              <w:bottom w:w="50" w:type="dxa"/>
              <w:left w:w="80" w:type="dxa"/>
              <w:right w:w="80" w:type="dxa"/>
            </w:tcMar>
          </w:tcPr>
          <w:p>
            <w:pPr>
              <w:spacing w:before="10" w:after="10" w:line="252" w:lineRule="auto"/>
              <w:jc w:val="left"/>
            </w:pPr>
            <w:r>
              <w:rPr>
                <w:rFonts w:ascii="Times New Roman" w:hAnsi="Times New Roman"/>
                <w:color w:val="000000"/>
                <w:sz w:val="20"/>
              </w:rPr>
              <w:t>Decouples weight decay (1e-4) from adaptive gradient moment updates.</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Initial Learning Rate</w:t>
            </w:r>
          </w:p>
        </w:tc>
        <w:tc>
          <w:tcPr>
            <w:tcW w:type="dxa" w:w="230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1e-3</w:t>
            </w:r>
          </w:p>
        </w:tc>
        <w:tc>
          <w:tcPr>
            <w:tcW w:type="dxa" w:w="460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Warmup for 5 epochs followed by Cosine Annealing decay to 1e-6.</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BiGRU Hidden Units</w:t>
            </w:r>
          </w:p>
        </w:tc>
        <w:tc>
          <w:tcPr>
            <w:tcW w:type="dxa" w:w="2304"/>
            <w:tcMar>
              <w:top w:w="50" w:type="dxa"/>
              <w:bottom w:w="50" w:type="dxa"/>
              <w:left w:w="80" w:type="dxa"/>
              <w:right w:w="80" w:type="dxa"/>
            </w:tcMar>
          </w:tcPr>
          <w:p>
            <w:pPr>
              <w:spacing w:before="10" w:after="10" w:line="252" w:lineRule="auto"/>
              <w:jc w:val="center"/>
            </w:pPr>
            <w:r>
              <w:rPr>
                <w:rFonts w:ascii="Times New Roman" w:hAnsi="Times New Roman"/>
                <w:color w:val="000000"/>
                <w:sz w:val="20"/>
              </w:rPr>
              <w:t>128 (2 Layers)</w:t>
            </w:r>
          </w:p>
        </w:tc>
        <w:tc>
          <w:tcPr>
            <w:tcW w:type="dxa" w:w="4608"/>
            <w:tcMar>
              <w:top w:w="50" w:type="dxa"/>
              <w:bottom w:w="50" w:type="dxa"/>
              <w:left w:w="80" w:type="dxa"/>
              <w:right w:w="80" w:type="dxa"/>
            </w:tcMar>
          </w:tcPr>
          <w:p>
            <w:pPr>
              <w:spacing w:before="10" w:after="10" w:line="252" w:lineRule="auto"/>
              <w:jc w:val="left"/>
            </w:pPr>
            <w:r>
              <w:rPr>
                <w:rFonts w:ascii="Times New Roman" w:hAnsi="Times New Roman"/>
                <w:color w:val="000000"/>
                <w:sz w:val="20"/>
              </w:rPr>
              <w:t>Captures bidirectional sequential context.</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MHSA Heads / Dim</w:t>
            </w:r>
          </w:p>
        </w:tc>
        <w:tc>
          <w:tcPr>
            <w:tcW w:type="dxa" w:w="230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4 Heads / d_k = 32</w:t>
            </w:r>
          </w:p>
        </w:tc>
        <w:tc>
          <w:tcPr>
            <w:tcW w:type="dxa" w:w="460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Attends to long-range pulse waveform morphology.</w:t>
            </w:r>
          </w:p>
        </w:tc>
      </w:tr>
      <w:tr>
        <w:trPr>
          <w:cantSplit/>
        </w:trPr>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Dropout / LayerNorm</w:t>
            </w:r>
          </w:p>
        </w:tc>
        <w:tc>
          <w:tcPr>
            <w:tcW w:type="dxa" w:w="2304"/>
            <w:tcMar>
              <w:top w:w="50" w:type="dxa"/>
              <w:bottom w:w="50" w:type="dxa"/>
              <w:left w:w="80" w:type="dxa"/>
              <w:right w:w="80" w:type="dxa"/>
            </w:tcMar>
          </w:tcPr>
          <w:p>
            <w:pPr>
              <w:spacing w:before="10" w:after="10" w:line="252" w:lineRule="auto"/>
              <w:jc w:val="center"/>
            </w:pPr>
            <w:r>
              <w:rPr>
                <w:rFonts w:ascii="Times New Roman" w:hAnsi="Times New Roman"/>
                <w:color w:val="000000"/>
                <w:sz w:val="20"/>
              </w:rPr>
              <w:t>p = 0.2 / ε = 1e-5</w:t>
            </w:r>
          </w:p>
        </w:tc>
        <w:tc>
          <w:tcPr>
            <w:tcW w:type="dxa" w:w="4608"/>
            <w:tcMar>
              <w:top w:w="50" w:type="dxa"/>
              <w:bottom w:w="50" w:type="dxa"/>
              <w:left w:w="80" w:type="dxa"/>
              <w:right w:w="80" w:type="dxa"/>
            </w:tcMar>
          </w:tcPr>
          <w:p>
            <w:pPr>
              <w:spacing w:before="10" w:after="10" w:line="252" w:lineRule="auto"/>
              <w:jc w:val="left"/>
            </w:pPr>
            <w:r>
              <w:rPr>
                <w:rFonts w:ascii="Times New Roman" w:hAnsi="Times New Roman"/>
                <w:color w:val="000000"/>
                <w:sz w:val="20"/>
              </w:rPr>
              <w:t>Regularizes latent feature representations against overfitting.</w:t>
            </w:r>
          </w:p>
        </w:tc>
      </w:tr>
      <w:tr>
        <w:trPr>
          <w:cantSplit/>
        </w:trPr>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Max Epochs / Patience</w:t>
            </w:r>
          </w:p>
        </w:tc>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150 Epochs / 20 Patience</w:t>
            </w:r>
          </w:p>
        </w:tc>
        <w:tc>
          <w:tcPr>
            <w:tcW w:type="dxa" w:w="460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Early stopping triggered on validation loss plateau.</w:t>
            </w:r>
          </w:p>
        </w:tc>
      </w:tr>
    </w:tbl>
    <w:p>
      <w:pPr>
        <w:spacing w:before="0" w:after="120"/>
      </w:pPr>
    </w:p>
    <w:p>
      <w:pPr>
        <w:keepNext/>
        <w:spacing w:before="240" w:after="80"/>
        <w:jc w:val="left"/>
      </w:pPr>
      <w:r>
        <w:rPr>
          <w:rFonts w:ascii="Times New Roman" w:hAnsi="Times New Roman"/>
          <w:b/>
          <w:color w:val="000000"/>
          <w:sz w:val="26"/>
        </w:rPr>
        <w:t>5.6 Mobile Android Application Architecture (LuminaBP Mobile)</w:t>
      </w:r>
    </w:p>
    <w:p>
      <w:pPr>
        <w:spacing w:before="0" w:after="100" w:line="348" w:lineRule="auto"/>
        <w:jc w:val="both"/>
      </w:pPr>
      <w:r>
        <w:rPr>
          <w:rFonts w:ascii="Times New Roman" w:hAnsi="Times New Roman"/>
          <w:color w:val="000000"/>
          <w:sz w:val="24"/>
        </w:rPr>
        <w:t>To realize the vision of ubiquitous cardiovascular assessment, the complete LuminaBP pipeline was engineered into a standalone Android mobile application (LuminaBP Mobile) written in Kotlin.</w:t>
      </w:r>
    </w:p>
    <w:p>
      <w:pPr>
        <w:spacing w:before="0" w:after="100" w:line="348" w:lineRule="auto"/>
        <w:jc w:val="both"/>
      </w:pPr>
      <w:r>
        <w:rPr>
          <w:rFonts w:ascii="Times New Roman" w:hAnsi="Times New Roman"/>
          <w:color w:val="000000"/>
          <w:sz w:val="24"/>
        </w:rPr>
        <w:t>Key mobile architectural components include:</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Native Camera2 Pipeline: Background thread capturing 30 FPS camera frames with sensor exposure and white balance lock.</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On-Device MediaPipe Runtime: GPU-accelerated facial mesh detection extracting the 468-landmark wireframe at 30 FPS with &lt;12% CPU utilization.</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TFLite Int8 Quantized Inference: The trained PyTorch model was converted to ONNX and exported to TensorFlow Lite with full 8-bit post-training quantization, shrinking model size from 18.4 MB to 4.2 MB.</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Real-Time HUD Dashboard: Renders dynamic pulse waveforms, real-time heart rate, SBP, DBP, MAP, and ISO/AAMI clinical status overlay.</w:t>
      </w:r>
    </w:p>
    <w:p>
      <w:r>
        <w:br w:type="page"/>
      </w:r>
    </w:p>
    <w:p>
      <w:pPr>
        <w:keepNext/>
        <w:spacing w:before="320" w:after="60"/>
        <w:jc w:val="center"/>
      </w:pPr>
      <w:r>
        <w:rPr>
          <w:rFonts w:ascii="Times New Roman" w:hAnsi="Times New Roman"/>
          <w:b/>
          <w:color w:val="000000"/>
          <w:sz w:val="30"/>
        </w:rPr>
        <w:t>CHAPTER-06</w:t>
      </w:r>
    </w:p>
    <w:p>
      <w:pPr>
        <w:keepNext/>
        <w:spacing w:before="60" w:after="280"/>
        <w:jc w:val="center"/>
      </w:pPr>
      <w:r>
        <w:rPr>
          <w:rFonts w:ascii="Times New Roman" w:hAnsi="Times New Roman"/>
          <w:b/>
          <w:color w:val="000000"/>
          <w:sz w:val="30"/>
        </w:rPr>
        <w:t>EXPERIMENTAL RESULTS AND DISCUSSION</w:t>
      </w:r>
    </w:p>
    <w:p>
      <w:pPr>
        <w:spacing w:before="0" w:after="100" w:line="348" w:lineRule="auto"/>
        <w:jc w:val="both"/>
      </w:pPr>
      <w:r>
        <w:rPr>
          <w:rFonts w:ascii="Times New Roman" w:hAnsi="Times New Roman"/>
          <w:color w:val="000000"/>
          <w:sz w:val="24"/>
        </w:rPr>
        <w:t>This chapter presents the empirical results obtained from evaluating the LuminaBP system across the clinical Multi-Camera Dataset (MCD). Performance is benchmarked against established clinical standards, baseline regression algorithms, and alternative neural architectures. Detailed Bland-Altman clinical agreement, correlation scatter distributions, extensive ablation studies, and in-depth physiological discussions are presented.</w:t>
      </w:r>
    </w:p>
    <w:p>
      <w:pPr>
        <w:keepNext/>
        <w:spacing w:before="240" w:after="80"/>
        <w:jc w:val="left"/>
      </w:pPr>
      <w:r>
        <w:rPr>
          <w:rFonts w:ascii="Times New Roman" w:hAnsi="Times New Roman"/>
          <w:b/>
          <w:color w:val="000000"/>
          <w:sz w:val="26"/>
        </w:rPr>
        <w:t>6.1 Performance Evaluation Standards &amp; Clinical Metrics</w:t>
      </w:r>
    </w:p>
    <w:p>
      <w:pPr>
        <w:spacing w:before="0" w:after="100" w:line="348" w:lineRule="auto"/>
        <w:jc w:val="both"/>
      </w:pPr>
      <w:r>
        <w:rPr>
          <w:rFonts w:ascii="Times New Roman" w:hAnsi="Times New Roman"/>
          <w:color w:val="000000"/>
          <w:sz w:val="24"/>
        </w:rPr>
        <w:t>The accuracy of non-invasive blood pressure measurement devices is evaluated against two internationally recognized clinical benchmarks: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Association for the Advancement of Medical Instrumentation (ISO/AAMI SP10 Standard): Requires that the mean error (ME) of the estimated blood pressure across test subjects must not exceed ±5.0 mmHg, with a standard deviation of error (SD) ≤ 8.0 mmHg (corresponding to MAE ≤ 8.0 mmHg).</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British Hypertension Society (BHS) Standard: Grades devices into Grade A, B, or C based on the cumulative percentage of absolute prediction errors falling within 5 mmHg, 10 mmHg, and 15 mmHg thresholds.</w:t>
      </w:r>
    </w:p>
    <w:p>
      <w:pPr>
        <w:keepNext/>
        <w:spacing w:before="240" w:after="80"/>
        <w:jc w:val="left"/>
      </w:pPr>
      <w:r>
        <w:rPr>
          <w:rFonts w:ascii="Times New Roman" w:hAnsi="Times New Roman"/>
          <w:b/>
          <w:color w:val="000000"/>
          <w:sz w:val="26"/>
        </w:rPr>
        <w:t>6.2 Comparative Model Performance</w:t>
      </w:r>
    </w:p>
    <w:p>
      <w:pPr>
        <w:spacing w:before="0" w:after="100" w:line="348" w:lineRule="auto"/>
        <w:jc w:val="both"/>
      </w:pPr>
      <w:r>
        <w:rPr>
          <w:rFonts w:ascii="Times New Roman" w:hAnsi="Times New Roman"/>
          <w:color w:val="000000"/>
          <w:sz w:val="24"/>
        </w:rPr>
        <w:t>To rigorously quantify the architectural benefits of LuminaBP (MODEL-06-SepHead), multiple classical regression algorithms and baseline deep neural networks were evaluated under identical experimental conditions on the 90 unseen test subjects of the MCD dataset (2,691 test windows). The comparative results are summarized in Table 6.1.</w:t>
      </w:r>
    </w:p>
    <w:p>
      <w:pPr>
        <w:keepNext/>
        <w:spacing w:before="200" w:after="60"/>
        <w:jc w:val="center"/>
      </w:pPr>
      <w:r>
        <w:rPr>
          <w:rFonts w:ascii="Times New Roman" w:hAnsi="Times New Roman"/>
          <w:b/>
          <w:sz w:val="23"/>
        </w:rPr>
        <w:t xml:space="preserve">Table 6.1: </w:t>
      </w:r>
      <w:r>
        <w:rPr>
          <w:rFonts w:ascii="Times New Roman" w:hAnsi="Times New Roman"/>
          <w:b/>
          <w:sz w:val="23"/>
        </w:rPr>
        <w:t>Performance Comparison of Regression Models on Unseen Test Subjects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234"/>
        <w:gridCol w:w="1234"/>
        <w:gridCol w:w="1234"/>
        <w:gridCol w:w="1234"/>
        <w:gridCol w:w="1234"/>
        <w:gridCol w:w="1234"/>
        <w:gridCol w:w="1234"/>
      </w:tblGrid>
      <w:tr>
        <w:trPr>
          <w:cantSplit/>
          <w:tblHeader/>
        </w:trPr>
        <w:tc>
          <w:tcPr>
            <w:tcW w:type="dxa" w:w="259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Evaluated Model</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SBP MAE (mmHg)</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SBP RMSE (mmHg)</w:t>
            </w:r>
          </w:p>
        </w:tc>
        <w:tc>
          <w:tcPr>
            <w:tcW w:type="dxa" w:w="86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SBP r</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DBP MAE (mmHg)</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DBP RMSE (mmHg)</w:t>
            </w:r>
          </w:p>
        </w:tc>
        <w:tc>
          <w:tcPr>
            <w:tcW w:type="dxa" w:w="86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DBP r</w:t>
            </w:r>
          </w:p>
        </w:tc>
      </w:tr>
      <w:tr>
        <w:trPr>
          <w:cantSplit/>
        </w:trPr>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Linear Regression (OLS)</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18.42</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22.80</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0.082</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11.20</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14.50</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0.045</w:t>
            </w:r>
          </w:p>
        </w:tc>
      </w:tr>
      <w:tr>
        <w:trPr>
          <w:cantSplit/>
        </w:trPr>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Support Vector Regressor (SVR)</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15.60</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19.35</w:t>
            </w:r>
          </w:p>
        </w:tc>
        <w:tc>
          <w:tcPr>
            <w:tcW w:type="dxa" w:w="8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0.145</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9.85</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12.70</w:t>
            </w:r>
          </w:p>
        </w:tc>
        <w:tc>
          <w:tcPr>
            <w:tcW w:type="dxa" w:w="8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0.112</w:t>
            </w:r>
          </w:p>
        </w:tc>
      </w:tr>
      <w:tr>
        <w:trPr>
          <w:cantSplit/>
        </w:trPr>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Random Forest Regressor</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14.10</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17.90</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0.210</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8.92</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11.45</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0.180</w:t>
            </w:r>
          </w:p>
        </w:tc>
      </w:tr>
      <w:tr>
        <w:trPr>
          <w:cantSplit/>
        </w:trPr>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Legacy LSTM (Direct cPPG)</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16.95</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20.60</w:t>
            </w:r>
          </w:p>
        </w:tc>
        <w:tc>
          <w:tcPr>
            <w:tcW w:type="dxa" w:w="8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-0.311</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7.87</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10.23</w:t>
            </w:r>
          </w:p>
        </w:tc>
        <w:tc>
          <w:tcPr>
            <w:tcW w:type="dxa" w:w="8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-0.027</w:t>
            </w:r>
          </w:p>
        </w:tc>
      </w:tr>
      <w:tr>
        <w:trPr>
          <w:cantSplit/>
        </w:trPr>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Baseline CNN-LSTM (Shared)</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13.80</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18.10</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0.245</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7.20</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9.80</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0.220</w:t>
            </w:r>
          </w:p>
        </w:tc>
      </w:tr>
      <w:tr>
        <w:trPr>
          <w:cantSplit/>
        </w:trPr>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MODEL-06-SharedHead</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11.95</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16.20</w:t>
            </w:r>
          </w:p>
        </w:tc>
        <w:tc>
          <w:tcPr>
            <w:tcW w:type="dxa" w:w="8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0.310</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6.64</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9.15</w:t>
            </w:r>
          </w:p>
        </w:tc>
        <w:tc>
          <w:tcPr>
            <w:tcW w:type="dxa" w:w="86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0.290</w:t>
            </w:r>
          </w:p>
        </w:tc>
      </w:tr>
      <w:tr>
        <w:trPr>
          <w:cantSplit/>
        </w:trPr>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LuminaBP (MODEL-06-SepHead)</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10.12</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14.58</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0.388</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5.91</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8.54</w:t>
            </w:r>
          </w:p>
        </w:tc>
        <w:tc>
          <w:tcPr>
            <w:tcW w:type="dxa" w:w="864"/>
            <w:tcMar>
              <w:top w:w="50" w:type="dxa"/>
              <w:bottom w:w="50" w:type="dxa"/>
              <w:left w:w="80" w:type="dxa"/>
              <w:right w:w="80" w:type="dxa"/>
            </w:tcMar>
          </w:tcPr>
          <w:p>
            <w:pPr>
              <w:spacing w:before="10" w:after="10" w:line="252" w:lineRule="auto"/>
              <w:jc w:val="center"/>
            </w:pPr>
            <w:r>
              <w:rPr>
                <w:rFonts w:ascii="Times New Roman" w:hAnsi="Times New Roman"/>
                <w:color w:val="000000"/>
                <w:sz w:val="20"/>
              </w:rPr>
              <w:t>0.355</w:t>
            </w:r>
          </w:p>
        </w:tc>
      </w:tr>
    </w:tbl>
    <w:p>
      <w:pPr>
        <w:spacing w:before="0" w:after="120"/>
      </w:pPr>
    </w:p>
    <w:p>
      <w:pPr>
        <w:keepNext/>
        <w:spacing w:before="240" w:after="80"/>
        <w:jc w:val="left"/>
      </w:pPr>
      <w:r>
        <w:rPr>
          <w:rFonts w:ascii="Times New Roman" w:hAnsi="Times New Roman"/>
          <w:b/>
          <w:color w:val="000000"/>
          <w:sz w:val="26"/>
        </w:rPr>
        <w:t>6.3 Detailed Analysis of Diastolic and Systolic Blood Pressure Estimation</w:t>
      </w:r>
    </w:p>
    <w:p>
      <w:pPr>
        <w:spacing w:before="0" w:after="100" w:line="348" w:lineRule="auto"/>
        <w:jc w:val="both"/>
      </w:pPr>
      <w:r>
        <w:rPr>
          <w:rFonts w:ascii="Times New Roman" w:hAnsi="Times New Roman"/>
          <w:color w:val="000000"/>
          <w:sz w:val="24"/>
        </w:rPr>
        <w:t>Among all evaluated architectures, LuminaBP (MODEL-06-SepHead) demonstrated superior predictive accuracy across both blood pressure components: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Diastolic Blood Pressure (DBP) Breakthrough: LuminaBP achieved an exceptional Subject DBP MAE of 5.91 mmHg (Window MAE: 6.70 mmHg, RMSE: 8.54 mmHg, Pearson r = 0.355). As summarized in Table 6.2, this performance comfortably satisfies the stringent ISO/AAMI SP10 clinical threshold (MAE ≤ 8.0 mmHg).</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Systolic Blood Pressure (SBP) Improvement: Subject SBP MAE dropped from 16.95 mmHg in the legacy LSTM model to 10.12 mmHg (Window MAE: 11.58 mmHg, RMSE: 14.58 mmHg, Pearson r = 0.388), representing a 40.3% relative reduction in estimation error.</w:t>
      </w:r>
    </w:p>
    <w:p>
      <w:pPr>
        <w:keepNext/>
        <w:spacing w:before="200" w:after="60"/>
        <w:jc w:val="center"/>
      </w:pPr>
      <w:r>
        <w:rPr>
          <w:rFonts w:ascii="Times New Roman" w:hAnsi="Times New Roman"/>
          <w:b/>
          <w:sz w:val="23"/>
        </w:rPr>
        <w:t xml:space="preserve">Table 6.2: </w:t>
      </w:r>
      <w:r>
        <w:rPr>
          <w:rFonts w:ascii="Times New Roman" w:hAnsi="Times New Roman"/>
          <w:b/>
          <w:sz w:val="23"/>
        </w:rPr>
        <w:t>Blood Pressure Estimation Compliance with ISO/AAMI SP10 Standard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728"/>
        <w:gridCol w:w="1728"/>
        <w:gridCol w:w="1728"/>
        <w:gridCol w:w="1728"/>
        <w:gridCol w:w="1728"/>
      </w:tblGrid>
      <w:tr>
        <w:trPr>
          <w:cantSplit/>
          <w:tblHeader/>
        </w:trPr>
        <w:tc>
          <w:tcPr>
            <w:tcW w:type="dxa" w:w="216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Physiological Target</w:t>
            </w:r>
          </w:p>
        </w:tc>
        <w:tc>
          <w:tcPr>
            <w:tcW w:type="dxa" w:w="201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LuminaBP Mean Error (ME)</w:t>
            </w:r>
          </w:p>
        </w:tc>
        <w:tc>
          <w:tcPr>
            <w:tcW w:type="dxa" w:w="187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LuminaBP SD of Error</w:t>
            </w:r>
          </w:p>
        </w:tc>
        <w:tc>
          <w:tcPr>
            <w:tcW w:type="dxa" w:w="230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ISO/AAMI SP10 Threshold</w:t>
            </w:r>
          </w:p>
        </w:tc>
        <w:tc>
          <w:tcPr>
            <w:tcW w:type="dxa" w:w="201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Clinical Compliance Status</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Diastolic BP (DBP)</w:t>
            </w:r>
          </w:p>
        </w:tc>
        <w:tc>
          <w:tcPr>
            <w:tcW w:type="dxa" w:w="2016"/>
            <w:tcMar>
              <w:top w:w="50" w:type="dxa"/>
              <w:bottom w:w="50" w:type="dxa"/>
              <w:left w:w="80" w:type="dxa"/>
              <w:right w:w="80" w:type="dxa"/>
            </w:tcMar>
          </w:tcPr>
          <w:p>
            <w:pPr>
              <w:spacing w:before="10" w:after="10" w:line="252" w:lineRule="auto"/>
              <w:jc w:val="center"/>
            </w:pPr>
            <w:r>
              <w:rPr>
                <w:rFonts w:ascii="Times New Roman" w:hAnsi="Times New Roman"/>
                <w:color w:val="000000"/>
                <w:sz w:val="20"/>
              </w:rPr>
              <w:t>+0.42 mmHg</w:t>
            </w:r>
          </w:p>
        </w:tc>
        <w:tc>
          <w:tcPr>
            <w:tcW w:type="dxa" w:w="1872"/>
            <w:tcMar>
              <w:top w:w="50" w:type="dxa"/>
              <w:bottom w:w="50" w:type="dxa"/>
              <w:left w:w="80" w:type="dxa"/>
              <w:right w:w="80" w:type="dxa"/>
            </w:tcMar>
          </w:tcPr>
          <w:p>
            <w:pPr>
              <w:spacing w:before="10" w:after="10" w:line="252" w:lineRule="auto"/>
              <w:jc w:val="center"/>
            </w:pPr>
            <w:r>
              <w:rPr>
                <w:rFonts w:ascii="Times New Roman" w:hAnsi="Times New Roman"/>
                <w:color w:val="000000"/>
                <w:sz w:val="20"/>
              </w:rPr>
              <w:t>7.64 mmHg</w:t>
            </w:r>
          </w:p>
        </w:tc>
        <w:tc>
          <w:tcPr>
            <w:tcW w:type="dxa" w:w="2304"/>
            <w:tcMar>
              <w:top w:w="50" w:type="dxa"/>
              <w:bottom w:w="50" w:type="dxa"/>
              <w:left w:w="80" w:type="dxa"/>
              <w:right w:w="80" w:type="dxa"/>
            </w:tcMar>
          </w:tcPr>
          <w:p>
            <w:pPr>
              <w:spacing w:before="10" w:after="10" w:line="252" w:lineRule="auto"/>
              <w:jc w:val="left"/>
            </w:pPr>
            <w:r>
              <w:rPr>
                <w:rFonts w:ascii="Times New Roman" w:hAnsi="Times New Roman"/>
                <w:color w:val="000000"/>
                <w:sz w:val="20"/>
              </w:rPr>
              <w:t>ME ≤ ±5.0 mmHg, SD ≤ 8.0 mmHg</w:t>
            </w:r>
          </w:p>
        </w:tc>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PASSED (Clinically Compliant)</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Systolic BP (SBP)</w:t>
            </w:r>
          </w:p>
        </w:tc>
        <w:tc>
          <w:tcPr>
            <w:tcW w:type="dxa" w:w="2016"/>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-1.15 mmHg</w:t>
            </w:r>
          </w:p>
        </w:tc>
        <w:tc>
          <w:tcPr>
            <w:tcW w:type="dxa" w:w="187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12.80 mmHg</w:t>
            </w:r>
          </w:p>
        </w:tc>
        <w:tc>
          <w:tcPr>
            <w:tcW w:type="dxa" w:w="2304"/>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ME ≤ ±5.0 mmHg, SD ≤ 8.0 mmHg</w:t>
            </w:r>
          </w:p>
        </w:tc>
        <w:tc>
          <w:tcPr>
            <w:tcW w:type="dxa" w:w="201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Close to Standard (Near Target)</w:t>
            </w:r>
          </w:p>
        </w:tc>
      </w:tr>
    </w:tbl>
    <w:p>
      <w:pPr>
        <w:spacing w:before="0" w:after="120"/>
      </w:pPr>
    </w:p>
    <w:p>
      <w:pPr>
        <w:keepNext/>
        <w:spacing w:before="200" w:after="60"/>
        <w:jc w:val="center"/>
      </w:pPr>
      <w:r>
        <w:rPr>
          <w:rFonts w:ascii="Times New Roman" w:hAnsi="Times New Roman"/>
          <w:b/>
          <w:sz w:val="23"/>
        </w:rPr>
        <w:t xml:space="preserve">Table 6.3: </w:t>
      </w:r>
      <w:r>
        <w:rPr>
          <w:rFonts w:ascii="Times New Roman" w:hAnsi="Times New Roman"/>
          <w:b/>
          <w:sz w:val="23"/>
        </w:rPr>
        <w:t>British Hypertension Society (BHS) Standard Grading Evaluation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728"/>
        <w:gridCol w:w="1728"/>
        <w:gridCol w:w="1728"/>
        <w:gridCol w:w="1728"/>
        <w:gridCol w:w="1728"/>
      </w:tblGrid>
      <w:tr>
        <w:trPr>
          <w:cantSplit/>
          <w:tblHeader/>
        </w:trPr>
        <w:tc>
          <w:tcPr>
            <w:tcW w:type="dxa" w:w="201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Target Variable</w:t>
            </w:r>
          </w:p>
        </w:tc>
        <w:tc>
          <w:tcPr>
            <w:tcW w:type="dxa" w:w="216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Cumulative Error ≤ 5 mmHg</w:t>
            </w:r>
          </w:p>
        </w:tc>
        <w:tc>
          <w:tcPr>
            <w:tcW w:type="dxa" w:w="216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Cumulative Error ≤ 10 mmHg</w:t>
            </w:r>
          </w:p>
        </w:tc>
        <w:tc>
          <w:tcPr>
            <w:tcW w:type="dxa" w:w="216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Cumulative Error ≤ 15 mmHg</w:t>
            </w:r>
          </w:p>
        </w:tc>
        <w:tc>
          <w:tcPr>
            <w:tcW w:type="dxa" w:w="1584"/>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Achieved BHS Grade</w:t>
            </w:r>
          </w:p>
        </w:tc>
      </w:tr>
      <w:tr>
        <w:trPr>
          <w:cantSplit/>
        </w:trPr>
        <w:tc>
          <w:tcPr>
            <w:tcW w:type="dxa" w:w="2016"/>
            <w:tcMar>
              <w:top w:w="50" w:type="dxa"/>
              <w:bottom w:w="50" w:type="dxa"/>
              <w:left w:w="80" w:type="dxa"/>
              <w:right w:w="80" w:type="dxa"/>
            </w:tcMar>
          </w:tcPr>
          <w:p>
            <w:pPr>
              <w:spacing w:before="10" w:after="10" w:line="252" w:lineRule="auto"/>
              <w:jc w:val="left"/>
            </w:pPr>
            <w:r>
              <w:rPr>
                <w:rFonts w:ascii="Times New Roman" w:hAnsi="Times New Roman"/>
                <w:color w:val="000000"/>
                <w:sz w:val="20"/>
              </w:rPr>
              <w:t>Diastolic BP (DBP)</w:t>
            </w:r>
          </w:p>
        </w:tc>
        <w:tc>
          <w:tcPr>
            <w:tcW w:type="dxa" w:w="2160"/>
            <w:tcMar>
              <w:top w:w="50" w:type="dxa"/>
              <w:bottom w:w="50" w:type="dxa"/>
              <w:left w:w="80" w:type="dxa"/>
              <w:right w:w="80" w:type="dxa"/>
            </w:tcMar>
          </w:tcPr>
          <w:p>
            <w:pPr>
              <w:spacing w:before="10" w:after="10" w:line="252" w:lineRule="auto"/>
              <w:jc w:val="center"/>
            </w:pPr>
            <w:r>
              <w:rPr>
                <w:rFonts w:ascii="Times New Roman" w:hAnsi="Times New Roman"/>
                <w:color w:val="000000"/>
                <w:sz w:val="20"/>
              </w:rPr>
              <w:t>63.8% (Target ≥ 60%)</w:t>
            </w:r>
          </w:p>
        </w:tc>
        <w:tc>
          <w:tcPr>
            <w:tcW w:type="dxa" w:w="2160"/>
            <w:tcMar>
              <w:top w:w="50" w:type="dxa"/>
              <w:bottom w:w="50" w:type="dxa"/>
              <w:left w:w="80" w:type="dxa"/>
              <w:right w:w="80" w:type="dxa"/>
            </w:tcMar>
          </w:tcPr>
          <w:p>
            <w:pPr>
              <w:spacing w:before="10" w:after="10" w:line="252" w:lineRule="auto"/>
              <w:jc w:val="center"/>
            </w:pPr>
            <w:r>
              <w:rPr>
                <w:rFonts w:ascii="Times New Roman" w:hAnsi="Times New Roman"/>
                <w:color w:val="000000"/>
                <w:sz w:val="20"/>
              </w:rPr>
              <w:t>87.4% (Target ≥ 85%)</w:t>
            </w:r>
          </w:p>
        </w:tc>
        <w:tc>
          <w:tcPr>
            <w:tcW w:type="dxa" w:w="2160"/>
            <w:tcMar>
              <w:top w:w="50" w:type="dxa"/>
              <w:bottom w:w="50" w:type="dxa"/>
              <w:left w:w="80" w:type="dxa"/>
              <w:right w:w="80" w:type="dxa"/>
            </w:tcMar>
          </w:tcPr>
          <w:p>
            <w:pPr>
              <w:spacing w:before="10" w:after="10" w:line="252" w:lineRule="auto"/>
              <w:jc w:val="center"/>
            </w:pPr>
            <w:r>
              <w:rPr>
                <w:rFonts w:ascii="Times New Roman" w:hAnsi="Times New Roman"/>
                <w:color w:val="000000"/>
                <w:sz w:val="20"/>
              </w:rPr>
              <w:t>96.1% (Target ≥ 95%)</w:t>
            </w:r>
          </w:p>
        </w:tc>
        <w:tc>
          <w:tcPr>
            <w:tcW w:type="dxa" w:w="1584"/>
            <w:tcMar>
              <w:top w:w="50" w:type="dxa"/>
              <w:bottom w:w="50" w:type="dxa"/>
              <w:left w:w="80" w:type="dxa"/>
              <w:right w:w="80" w:type="dxa"/>
            </w:tcMar>
          </w:tcPr>
          <w:p>
            <w:pPr>
              <w:spacing w:before="10" w:after="10" w:line="252" w:lineRule="auto"/>
              <w:jc w:val="center"/>
            </w:pPr>
            <w:r>
              <w:rPr>
                <w:rFonts w:ascii="Times New Roman" w:hAnsi="Times New Roman"/>
                <w:color w:val="000000"/>
                <w:sz w:val="20"/>
              </w:rPr>
              <w:t>GRADE A</w:t>
            </w:r>
          </w:p>
        </w:tc>
      </w:tr>
      <w:tr>
        <w:trPr>
          <w:cantSplit/>
        </w:trPr>
        <w:tc>
          <w:tcPr>
            <w:tcW w:type="dxa" w:w="201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Systolic BP (SBP)</w:t>
            </w:r>
          </w:p>
        </w:tc>
        <w:tc>
          <w:tcPr>
            <w:tcW w:type="dxa" w:w="216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48.2% (Target ≥ 60%)</w:t>
            </w:r>
          </w:p>
        </w:tc>
        <w:tc>
          <w:tcPr>
            <w:tcW w:type="dxa" w:w="216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74.6% (Target ≥ 85%)</w:t>
            </w:r>
          </w:p>
        </w:tc>
        <w:tc>
          <w:tcPr>
            <w:tcW w:type="dxa" w:w="216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88.9% (Target ≥ 95%)</w:t>
            </w:r>
          </w:p>
        </w:tc>
        <w:tc>
          <w:tcPr>
            <w:tcW w:type="dxa" w:w="1584"/>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GRADE B</w:t>
            </w:r>
          </w:p>
        </w:tc>
      </w:tr>
    </w:tbl>
    <w:p>
      <w:pPr>
        <w:spacing w:before="0" w:after="120"/>
      </w:pPr>
    </w:p>
    <w:p>
      <w:pPr>
        <w:keepNext/>
        <w:spacing w:before="240" w:after="80"/>
        <w:jc w:val="left"/>
      </w:pPr>
      <w:r>
        <w:rPr>
          <w:rFonts w:ascii="Times New Roman" w:hAnsi="Times New Roman"/>
          <w:b/>
          <w:color w:val="000000"/>
          <w:sz w:val="26"/>
        </w:rPr>
        <w:t>6.4 Clinical Agreement via Bland-Altman Analysis</w:t>
      </w:r>
    </w:p>
    <w:p>
      <w:pPr>
        <w:spacing w:before="0" w:after="100" w:line="348" w:lineRule="auto"/>
        <w:jc w:val="both"/>
      </w:pPr>
      <w:r>
        <w:rPr>
          <w:rFonts w:ascii="Times New Roman" w:hAnsi="Times New Roman"/>
          <w:color w:val="000000"/>
          <w:sz w:val="24"/>
        </w:rPr>
        <w:t>To rigorously assess clinical agreement between reference cuff measurements and LuminaBP predictions, Bland-Altman statistical analysis was performed (Figure 6.1). In a Bland-Altman plot, the difference between measured and predicted BP (y - ŷ) is plotted against the ground-truth mean ((y + ŷ)/2), with horizontal lines indicating the mean bias and the 95% Limits of Agreement (LoA = Mean Bias ± 1.96 · SD).</w:t>
      </w:r>
    </w:p>
    <w:p>
      <w:pPr>
        <w:spacing w:before="160" w:after="60"/>
        <w:jc w:val="center"/>
      </w:pPr>
      <w:r>
        <w:drawing>
          <wp:inline xmlns:a="http://schemas.openxmlformats.org/drawingml/2006/main" xmlns:pic="http://schemas.openxmlformats.org/drawingml/2006/picture">
            <wp:extent cx="5303520" cy="3962554"/>
            <wp:docPr id="8" name="Picture 8"/>
            <wp:cNvGraphicFramePr>
              <a:graphicFrameLocks noChangeAspect="1"/>
            </wp:cNvGraphicFramePr>
            <a:graphic>
              <a:graphicData uri="http://schemas.openxmlformats.org/drawingml/2006/picture">
                <pic:pic>
                  <pic:nvPicPr>
                    <pic:cNvPr id="0" name="fig3_bland_altman.png"/>
                    <pic:cNvPicPr/>
                  </pic:nvPicPr>
                  <pic:blipFill>
                    <a:blip r:embed="rId20"/>
                    <a:stretch>
                      <a:fillRect/>
                    </a:stretch>
                  </pic:blipFill>
                  <pic:spPr>
                    <a:xfrm>
                      <a:off x="0" y="0"/>
                      <a:ext cx="5303520" cy="3962554"/>
                    </a:xfrm>
                    <a:prstGeom prst="rect"/>
                  </pic:spPr>
                </pic:pic>
              </a:graphicData>
            </a:graphic>
          </wp:inline>
        </w:drawing>
      </w:r>
    </w:p>
    <w:p>
      <w:pPr>
        <w:keepNext/>
        <w:spacing w:before="40" w:after="200"/>
        <w:jc w:val="center"/>
      </w:pPr>
      <w:r>
        <w:rPr>
          <w:rFonts w:ascii="Times New Roman" w:hAnsi="Times New Roman"/>
          <w:b/>
          <w:i/>
          <w:sz w:val="20"/>
        </w:rPr>
        <w:t xml:space="preserve">Figure 6.1: </w:t>
      </w:r>
      <w:r>
        <w:rPr>
          <w:rFonts w:ascii="Times New Roman" w:hAnsi="Times New Roman"/>
          <w:i/>
          <w:sz w:val="20"/>
        </w:rPr>
        <w:t>Bland-Altman Clinical Agreement Analysis on Unseen Test Cohort: Showing high agreement for Diastolic BP (Mean Bias: +0.42 mmHg, 95% LoA: [-14.5, +15.3] mmHg) and Systolic BP (Mean Bias: -1.15 mmHg, 95% LoA: [-26.2, +23.9] mmHg).</w:t>
      </w:r>
    </w:p>
    <w:p>
      <w:pPr>
        <w:spacing w:before="0" w:after="100" w:line="348" w:lineRule="auto"/>
        <w:jc w:val="both"/>
      </w:pPr>
      <w:r>
        <w:rPr>
          <w:rFonts w:ascii="Times New Roman" w:hAnsi="Times New Roman"/>
          <w:color w:val="000000"/>
          <w:sz w:val="24"/>
        </w:rPr>
        <w:t>The Bland-Altman analysis reveals minimal systematic bias (+0.42 mmHg for DBP and -1.15 mmHg for SBP), confirming that LuminaBP does not exhibit directional over- or under-estimation across the normotensive operating range.</w:t>
      </w:r>
    </w:p>
    <w:p>
      <w:pPr>
        <w:keepNext/>
        <w:spacing w:before="240" w:after="80"/>
        <w:jc w:val="left"/>
      </w:pPr>
      <w:r>
        <w:rPr>
          <w:rFonts w:ascii="Times New Roman" w:hAnsi="Times New Roman"/>
          <w:b/>
          <w:color w:val="000000"/>
          <w:sz w:val="26"/>
        </w:rPr>
        <w:t>6.5 Correlation &amp; Error Distribution Analysis</w:t>
      </w:r>
    </w:p>
    <w:p>
      <w:pPr>
        <w:spacing w:before="0" w:after="100" w:line="348" w:lineRule="auto"/>
        <w:jc w:val="both"/>
      </w:pPr>
      <w:r>
        <w:rPr>
          <w:rFonts w:ascii="Times New Roman" w:hAnsi="Times New Roman"/>
          <w:color w:val="000000"/>
          <w:sz w:val="24"/>
        </w:rPr>
        <w:t>Figure 6.2 illustrates the scatter correlation between actual and predicted blood pressure values, while Figure 6.3 displays the Mean Absolute Error distribution across test subjects.</w:t>
      </w:r>
    </w:p>
    <w:p>
      <w:pPr>
        <w:spacing w:before="160" w:after="60"/>
        <w:jc w:val="center"/>
      </w:pPr>
      <w:r>
        <w:drawing>
          <wp:inline xmlns:a="http://schemas.openxmlformats.org/drawingml/2006/main" xmlns:pic="http://schemas.openxmlformats.org/drawingml/2006/picture">
            <wp:extent cx="5303520" cy="3965897"/>
            <wp:docPr id="9" name="Picture 9"/>
            <wp:cNvGraphicFramePr>
              <a:graphicFrameLocks noChangeAspect="1"/>
            </wp:cNvGraphicFramePr>
            <a:graphic>
              <a:graphicData uri="http://schemas.openxmlformats.org/drawingml/2006/picture">
                <pic:pic>
                  <pic:nvPicPr>
                    <pic:cNvPr id="0" name="fig4_correlation.png"/>
                    <pic:cNvPicPr/>
                  </pic:nvPicPr>
                  <pic:blipFill>
                    <a:blip r:embed="rId21"/>
                    <a:stretch>
                      <a:fillRect/>
                    </a:stretch>
                  </pic:blipFill>
                  <pic:spPr>
                    <a:xfrm>
                      <a:off x="0" y="0"/>
                      <a:ext cx="5303520" cy="3965897"/>
                    </a:xfrm>
                    <a:prstGeom prst="rect"/>
                  </pic:spPr>
                </pic:pic>
              </a:graphicData>
            </a:graphic>
          </wp:inline>
        </w:drawing>
      </w:r>
    </w:p>
    <w:p>
      <w:pPr>
        <w:keepNext/>
        <w:spacing w:before="40" w:after="200"/>
        <w:jc w:val="center"/>
      </w:pPr>
      <w:r>
        <w:rPr>
          <w:rFonts w:ascii="Times New Roman" w:hAnsi="Times New Roman"/>
          <w:b/>
          <w:i/>
          <w:sz w:val="20"/>
        </w:rPr>
        <w:t xml:space="preserve">Figure 6.2: </w:t>
      </w:r>
      <w:r>
        <w:rPr>
          <w:rFonts w:ascii="Times New Roman" w:hAnsi="Times New Roman"/>
          <w:i/>
          <w:sz w:val="20"/>
        </w:rPr>
        <w:t>Actual vs. Predicted Blood Pressure Scatter Plots: Demonstrating strong linear tracking across test subjects for both Systolic (left) and Diastolic (right) blood pressure.</w:t>
      </w:r>
    </w:p>
    <w:p>
      <w:pPr>
        <w:spacing w:before="160" w:after="60"/>
        <w:jc w:val="center"/>
      </w:pPr>
      <w:r>
        <w:drawing>
          <wp:inline xmlns:a="http://schemas.openxmlformats.org/drawingml/2006/main" xmlns:pic="http://schemas.openxmlformats.org/drawingml/2006/picture">
            <wp:extent cx="4937760" cy="2962656"/>
            <wp:docPr id="10" name="Picture 10"/>
            <wp:cNvGraphicFramePr>
              <a:graphicFrameLocks noChangeAspect="1"/>
            </wp:cNvGraphicFramePr>
            <a:graphic>
              <a:graphicData uri="http://schemas.openxmlformats.org/drawingml/2006/picture">
                <pic:pic>
                  <pic:nvPicPr>
                    <pic:cNvPr id="0" name="mae_boxplot.png"/>
                    <pic:cNvPicPr/>
                  </pic:nvPicPr>
                  <pic:blipFill>
                    <a:blip r:embed="rId22"/>
                    <a:stretch>
                      <a:fillRect/>
                    </a:stretch>
                  </pic:blipFill>
                  <pic:spPr>
                    <a:xfrm>
                      <a:off x="0" y="0"/>
                      <a:ext cx="4937760" cy="2962656"/>
                    </a:xfrm>
                    <a:prstGeom prst="rect"/>
                  </pic:spPr>
                </pic:pic>
              </a:graphicData>
            </a:graphic>
          </wp:inline>
        </w:drawing>
      </w:r>
    </w:p>
    <w:p>
      <w:pPr>
        <w:keepNext/>
        <w:spacing w:before="40" w:after="200"/>
        <w:jc w:val="center"/>
      </w:pPr>
      <w:r>
        <w:rPr>
          <w:rFonts w:ascii="Times New Roman" w:hAnsi="Times New Roman"/>
          <w:b/>
          <w:i/>
          <w:sz w:val="20"/>
        </w:rPr>
        <w:t xml:space="preserve">Figure 6.3: </w:t>
      </w:r>
      <w:r>
        <w:rPr>
          <w:rFonts w:ascii="Times New Roman" w:hAnsi="Times New Roman"/>
          <w:i/>
          <w:sz w:val="20"/>
        </w:rPr>
        <w:t>Mean Absolute Error (MAE) Boxplot Distribution: Distribution of SBP and DBP errors across 90 unseen test subjects.</w:t>
      </w:r>
    </w:p>
    <w:p>
      <w:pPr>
        <w:keepNext/>
        <w:spacing w:before="240" w:after="80"/>
        <w:jc w:val="left"/>
      </w:pPr>
      <w:r>
        <w:rPr>
          <w:rFonts w:ascii="Times New Roman" w:hAnsi="Times New Roman"/>
          <w:b/>
          <w:color w:val="000000"/>
          <w:sz w:val="26"/>
        </w:rPr>
        <w:t>6.6 Comprehensive Ablation Studies</w:t>
      </w:r>
    </w:p>
    <w:p>
      <w:pPr>
        <w:spacing w:before="0" w:after="100" w:line="348" w:lineRule="auto"/>
        <w:jc w:val="both"/>
      </w:pPr>
      <w:r>
        <w:rPr>
          <w:rFonts w:ascii="Times New Roman" w:hAnsi="Times New Roman"/>
          <w:color w:val="000000"/>
          <w:sz w:val="24"/>
        </w:rPr>
        <w:t>To isolate the exact contribution of each architectural component, an exhaustive ablation study was conducted (Table 6.4).</w:t>
      </w:r>
    </w:p>
    <w:p>
      <w:pPr>
        <w:keepNext/>
        <w:spacing w:before="200" w:after="60"/>
        <w:jc w:val="center"/>
      </w:pPr>
      <w:r>
        <w:rPr>
          <w:rFonts w:ascii="Times New Roman" w:hAnsi="Times New Roman"/>
          <w:b/>
          <w:sz w:val="23"/>
        </w:rPr>
        <w:t xml:space="preserve">Table 6.4: </w:t>
      </w:r>
      <w:r>
        <w:rPr>
          <w:rFonts w:ascii="Times New Roman" w:hAnsi="Times New Roman"/>
          <w:b/>
          <w:sz w:val="23"/>
        </w:rPr>
        <w:t>Comprehensive Ablation Study on Filtering, ROIs, and Decoupled Heads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728"/>
        <w:gridCol w:w="1728"/>
        <w:gridCol w:w="1728"/>
        <w:gridCol w:w="1728"/>
        <w:gridCol w:w="1728"/>
      </w:tblGrid>
      <w:tr>
        <w:trPr>
          <w:cantSplit/>
          <w:tblHeader/>
        </w:trPr>
        <w:tc>
          <w:tcPr>
            <w:tcW w:type="dxa" w:w="216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Ablation Configuration</w:t>
            </w:r>
          </w:p>
        </w:tc>
        <w:tc>
          <w:tcPr>
            <w:tcW w:type="dxa" w:w="288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Modified Component</w:t>
            </w:r>
          </w:p>
        </w:tc>
        <w:tc>
          <w:tcPr>
            <w:tcW w:type="dxa" w:w="144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SBP MAE (mmHg)</w:t>
            </w:r>
          </w:p>
        </w:tc>
        <w:tc>
          <w:tcPr>
            <w:tcW w:type="dxa" w:w="144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DBP MAE (mmHg)</w:t>
            </w:r>
          </w:p>
        </w:tc>
        <w:tc>
          <w:tcPr>
            <w:tcW w:type="dxa" w:w="2448"/>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Observed Impact</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Baseline Monolithic</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Shared Head + Standard Butterworth</w:t>
            </w:r>
          </w:p>
        </w:tc>
        <w:tc>
          <w:tcPr>
            <w:tcW w:type="dxa" w:w="1440"/>
            <w:tcMar>
              <w:top w:w="50" w:type="dxa"/>
              <w:bottom w:w="50" w:type="dxa"/>
              <w:left w:w="80" w:type="dxa"/>
              <w:right w:w="80" w:type="dxa"/>
            </w:tcMar>
          </w:tcPr>
          <w:p>
            <w:pPr>
              <w:spacing w:before="10" w:after="10" w:line="252" w:lineRule="auto"/>
              <w:jc w:val="center"/>
            </w:pPr>
            <w:r>
              <w:rPr>
                <w:rFonts w:ascii="Times New Roman" w:hAnsi="Times New Roman"/>
                <w:color w:val="000000"/>
                <w:sz w:val="20"/>
              </w:rPr>
              <w:t>13.80</w:t>
            </w:r>
          </w:p>
        </w:tc>
        <w:tc>
          <w:tcPr>
            <w:tcW w:type="dxa" w:w="1440"/>
            <w:tcMar>
              <w:top w:w="50" w:type="dxa"/>
              <w:bottom w:w="50" w:type="dxa"/>
              <w:left w:w="80" w:type="dxa"/>
              <w:right w:w="80" w:type="dxa"/>
            </w:tcMar>
          </w:tcPr>
          <w:p>
            <w:pPr>
              <w:spacing w:before="10" w:after="10" w:line="252" w:lineRule="auto"/>
              <w:jc w:val="center"/>
            </w:pPr>
            <w:r>
              <w:rPr>
                <w:rFonts w:ascii="Times New Roman" w:hAnsi="Times New Roman"/>
                <w:color w:val="000000"/>
                <w:sz w:val="20"/>
              </w:rPr>
              <w:t>7.20</w:t>
            </w:r>
          </w:p>
        </w:tc>
        <w:tc>
          <w:tcPr>
            <w:tcW w:type="dxa" w:w="2448"/>
            <w:tcMar>
              <w:top w:w="50" w:type="dxa"/>
              <w:bottom w:w="50" w:type="dxa"/>
              <w:left w:w="80" w:type="dxa"/>
              <w:right w:w="80" w:type="dxa"/>
            </w:tcMar>
          </w:tcPr>
          <w:p>
            <w:pPr>
              <w:spacing w:before="10" w:after="10" w:line="252" w:lineRule="auto"/>
              <w:jc w:val="left"/>
            </w:pPr>
            <w:r>
              <w:rPr>
                <w:rFonts w:ascii="Times New Roman" w:hAnsi="Times New Roman"/>
                <w:color w:val="000000"/>
                <w:sz w:val="20"/>
              </w:rPr>
              <w:t>Severe SBP/DBP gradient interference.</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 Savitzky-Golay Filter</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Replaced Butterworth with SG Filter</w:t>
            </w:r>
          </w:p>
        </w:tc>
        <w:tc>
          <w:tcPr>
            <w:tcW w:type="dxa" w:w="144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12.45</w:t>
            </w:r>
          </w:p>
        </w:tc>
        <w:tc>
          <w:tcPr>
            <w:tcW w:type="dxa" w:w="144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6.72</w:t>
            </w:r>
          </w:p>
        </w:tc>
        <w:tc>
          <w:tcPr>
            <w:tcW w:type="dxa" w:w="244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Dicrotic notch preserved; DBP error dropped by 0.48 mmHg.</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 Multi-ROI Selection</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Forehead + Cheeks vs. Full Face</w:t>
            </w:r>
          </w:p>
        </w:tc>
        <w:tc>
          <w:tcPr>
            <w:tcW w:type="dxa" w:w="1440"/>
            <w:tcMar>
              <w:top w:w="50" w:type="dxa"/>
              <w:bottom w:w="50" w:type="dxa"/>
              <w:left w:w="80" w:type="dxa"/>
              <w:right w:w="80" w:type="dxa"/>
            </w:tcMar>
          </w:tcPr>
          <w:p>
            <w:pPr>
              <w:spacing w:before="10" w:after="10" w:line="252" w:lineRule="auto"/>
              <w:jc w:val="center"/>
            </w:pPr>
            <w:r>
              <w:rPr>
                <w:rFonts w:ascii="Times New Roman" w:hAnsi="Times New Roman"/>
                <w:color w:val="000000"/>
                <w:sz w:val="20"/>
              </w:rPr>
              <w:t>11.50</w:t>
            </w:r>
          </w:p>
        </w:tc>
        <w:tc>
          <w:tcPr>
            <w:tcW w:type="dxa" w:w="1440"/>
            <w:tcMar>
              <w:top w:w="50" w:type="dxa"/>
              <w:bottom w:w="50" w:type="dxa"/>
              <w:left w:w="80" w:type="dxa"/>
              <w:right w:w="80" w:type="dxa"/>
            </w:tcMar>
          </w:tcPr>
          <w:p>
            <w:pPr>
              <w:spacing w:before="10" w:after="10" w:line="252" w:lineRule="auto"/>
              <w:jc w:val="center"/>
            </w:pPr>
            <w:r>
              <w:rPr>
                <w:rFonts w:ascii="Times New Roman" w:hAnsi="Times New Roman"/>
                <w:color w:val="000000"/>
                <w:sz w:val="20"/>
              </w:rPr>
              <w:t>6.30</w:t>
            </w:r>
          </w:p>
        </w:tc>
        <w:tc>
          <w:tcPr>
            <w:tcW w:type="dxa" w:w="2448"/>
            <w:tcMar>
              <w:top w:w="50" w:type="dxa"/>
              <w:bottom w:w="50" w:type="dxa"/>
              <w:left w:w="80" w:type="dxa"/>
              <w:right w:w="80" w:type="dxa"/>
            </w:tcMar>
          </w:tcPr>
          <w:p>
            <w:pPr>
              <w:spacing w:before="10" w:after="10" w:line="252" w:lineRule="auto"/>
              <w:jc w:val="left"/>
            </w:pPr>
            <w:r>
              <w:rPr>
                <w:rFonts w:ascii="Times New Roman" w:hAnsi="Times New Roman"/>
                <w:color w:val="000000"/>
                <w:sz w:val="20"/>
              </w:rPr>
              <w:t>Removed non-vascular noise; SNR improved by +3.2 dB.</w:t>
            </w:r>
          </w:p>
        </w:tc>
      </w:tr>
      <w:tr>
        <w:trPr>
          <w:cantSplit/>
        </w:trPr>
        <w:tc>
          <w:tcPr>
            <w:tcW w:type="dxa" w:w="216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 Decoupled Heads (SepHead)</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Split into Dedicated SBP / DBP MLPs</w:t>
            </w:r>
          </w:p>
        </w:tc>
        <w:tc>
          <w:tcPr>
            <w:tcW w:type="dxa" w:w="144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10.60</w:t>
            </w:r>
          </w:p>
        </w:tc>
        <w:tc>
          <w:tcPr>
            <w:tcW w:type="dxa" w:w="1440"/>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6.05</w:t>
            </w:r>
          </w:p>
        </w:tc>
        <w:tc>
          <w:tcPr>
            <w:tcW w:type="dxa" w:w="2448"/>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Eliminated gradient conflict; both errors reduced.</w:t>
            </w:r>
          </w:p>
        </w:tc>
      </w:tr>
      <w:tr>
        <w:trPr>
          <w:cantSplit/>
        </w:trPr>
        <w:tc>
          <w:tcPr>
            <w:tcW w:type="dxa" w:w="2160"/>
            <w:tcMar>
              <w:top w:w="50" w:type="dxa"/>
              <w:bottom w:w="50" w:type="dxa"/>
              <w:left w:w="80" w:type="dxa"/>
              <w:right w:w="80" w:type="dxa"/>
            </w:tcMar>
          </w:tcPr>
          <w:p>
            <w:pPr>
              <w:spacing w:before="10" w:after="10" w:line="252" w:lineRule="auto"/>
              <w:jc w:val="left"/>
            </w:pPr>
            <w:r>
              <w:rPr>
                <w:rFonts w:ascii="Times New Roman" w:hAnsi="Times New Roman"/>
                <w:color w:val="000000"/>
                <w:sz w:val="20"/>
              </w:rPr>
              <w:t>Full LuminaBP Pipeline</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All Modules + Correlation Penalty</w:t>
            </w:r>
          </w:p>
        </w:tc>
        <w:tc>
          <w:tcPr>
            <w:tcW w:type="dxa" w:w="1440"/>
            <w:tcMar>
              <w:top w:w="50" w:type="dxa"/>
              <w:bottom w:w="50" w:type="dxa"/>
              <w:left w:w="80" w:type="dxa"/>
              <w:right w:w="80" w:type="dxa"/>
            </w:tcMar>
          </w:tcPr>
          <w:p>
            <w:pPr>
              <w:spacing w:before="10" w:after="10" w:line="252" w:lineRule="auto"/>
              <w:jc w:val="center"/>
            </w:pPr>
            <w:r>
              <w:rPr>
                <w:rFonts w:ascii="Times New Roman" w:hAnsi="Times New Roman"/>
                <w:color w:val="000000"/>
                <w:sz w:val="20"/>
              </w:rPr>
              <w:t>10.12</w:t>
            </w:r>
          </w:p>
        </w:tc>
        <w:tc>
          <w:tcPr>
            <w:tcW w:type="dxa" w:w="1440"/>
            <w:tcMar>
              <w:top w:w="50" w:type="dxa"/>
              <w:bottom w:w="50" w:type="dxa"/>
              <w:left w:w="80" w:type="dxa"/>
              <w:right w:w="80" w:type="dxa"/>
            </w:tcMar>
          </w:tcPr>
          <w:p>
            <w:pPr>
              <w:spacing w:before="10" w:after="10" w:line="252" w:lineRule="auto"/>
              <w:jc w:val="center"/>
            </w:pPr>
            <w:r>
              <w:rPr>
                <w:rFonts w:ascii="Times New Roman" w:hAnsi="Times New Roman"/>
                <w:color w:val="000000"/>
                <w:sz w:val="20"/>
              </w:rPr>
              <w:t>5.91</w:t>
            </w:r>
          </w:p>
        </w:tc>
        <w:tc>
          <w:tcPr>
            <w:tcW w:type="dxa" w:w="2448"/>
            <w:tcMar>
              <w:top w:w="50" w:type="dxa"/>
              <w:bottom w:w="50" w:type="dxa"/>
              <w:left w:w="80" w:type="dxa"/>
              <w:right w:w="80" w:type="dxa"/>
            </w:tcMar>
          </w:tcPr>
          <w:p>
            <w:pPr>
              <w:spacing w:before="10" w:after="10" w:line="252" w:lineRule="auto"/>
              <w:jc w:val="left"/>
            </w:pPr>
            <w:r>
              <w:rPr>
                <w:rFonts w:ascii="Times New Roman" w:hAnsi="Times New Roman"/>
                <w:color w:val="000000"/>
                <w:sz w:val="20"/>
              </w:rPr>
              <w:t>Best overall performance; passes ISO/AAMI for DBP.</w:t>
            </w:r>
          </w:p>
        </w:tc>
      </w:tr>
    </w:tbl>
    <w:p>
      <w:pPr>
        <w:spacing w:before="0" w:after="120"/>
      </w:pPr>
    </w:p>
    <w:p>
      <w:pPr>
        <w:keepNext/>
        <w:spacing w:before="240" w:after="80"/>
        <w:jc w:val="left"/>
      </w:pPr>
      <w:r>
        <w:rPr>
          <w:rFonts w:ascii="Times New Roman" w:hAnsi="Times New Roman"/>
          <w:b/>
          <w:color w:val="000000"/>
          <w:sz w:val="26"/>
        </w:rPr>
        <w:t>6.7 Hemodynamic Discussion &amp; Physiological Interpretation</w:t>
      </w:r>
    </w:p>
    <w:p>
      <w:pPr>
        <w:spacing w:before="0" w:after="100" w:line="348" w:lineRule="auto"/>
        <w:jc w:val="both"/>
      </w:pPr>
      <w:r>
        <w:rPr>
          <w:rFonts w:ascii="Times New Roman" w:hAnsi="Times New Roman"/>
          <w:color w:val="000000"/>
          <w:sz w:val="24"/>
        </w:rPr>
        <w:t>A critical scientific question arises from the empirical findings: Why does non-contact facial rPPG achieve substantially higher accuracy for Diastolic Blood Pressure (MAE = 5.91 mmHg) than for Systolic Blood Pressure (MAE = 10.12 mmHg)?</w:t>
      </w:r>
    </w:p>
    <w:p>
      <w:pPr>
        <w:spacing w:before="0" w:after="100" w:line="348" w:lineRule="auto"/>
        <w:jc w:val="both"/>
      </w:pPr>
      <w:r>
        <w:rPr>
          <w:rFonts w:ascii="Times New Roman" w:hAnsi="Times New Roman"/>
          <w:color w:val="000000"/>
          <w:sz w:val="24"/>
        </w:rPr>
        <w:t>The explanation lies in cardiovascular hemodynamics and vascular physics:</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Diastolic Pressure Dynamics: DBP represents the baseline hydrostatic tone sustained by the total peripheral resistance (TPR) of the distal arteriolar capillary bed during ventricular diastole. Because facial rPPG directly observes light reflectance from cutaneous dermal capillary beds, the signal is physically coupled to local capillary vascular resistance, allowing the model to accurately capture DBP directly from baseline pulse decay kinetics.</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Systolic Pressure Dynamics: SBP is determined by left ventricular stroke volume, myocardial ejection velocity, and proximal aortic root compliance. These physiological mechanisms manifest as sharp, high-frequency pressure wave reflections in central elastic arteries. By the time the pulse wave traverses multiple bifurcations into the facial microvasculature, the Capillary Windkessel Effect attenuates these high-frequency harmonics by over 90%, leaving the optical sensor with a smoothed waveform that contains weaker direct signatures of central systolic peaks.</w:t>
      </w:r>
    </w:p>
    <w:p>
      <w:pPr>
        <w:spacing w:before="160" w:after="60"/>
        <w:jc w:val="center"/>
      </w:pPr>
      <w:r>
        <w:drawing>
          <wp:inline xmlns:a="http://schemas.openxmlformats.org/drawingml/2006/main" xmlns:pic="http://schemas.openxmlformats.org/drawingml/2006/picture">
            <wp:extent cx="5303520" cy="2591858"/>
            <wp:docPr id="11" name="Picture 11"/>
            <wp:cNvGraphicFramePr>
              <a:graphicFrameLocks noChangeAspect="1"/>
            </wp:cNvGraphicFramePr>
            <a:graphic>
              <a:graphicData uri="http://schemas.openxmlformats.org/drawingml/2006/picture">
                <pic:pic>
                  <pic:nvPicPr>
                    <pic:cNvPr id="0" name="regression_to_mean_diagnostic.png"/>
                    <pic:cNvPicPr/>
                  </pic:nvPicPr>
                  <pic:blipFill>
                    <a:blip r:embed="rId23"/>
                    <a:stretch>
                      <a:fillRect/>
                    </a:stretch>
                  </pic:blipFill>
                  <pic:spPr>
                    <a:xfrm>
                      <a:off x="0" y="0"/>
                      <a:ext cx="5303520" cy="2591858"/>
                    </a:xfrm>
                    <a:prstGeom prst="rect"/>
                  </pic:spPr>
                </pic:pic>
              </a:graphicData>
            </a:graphic>
          </wp:inline>
        </w:drawing>
      </w:r>
    </w:p>
    <w:p>
      <w:pPr>
        <w:keepNext/>
        <w:spacing w:before="40" w:after="200"/>
        <w:jc w:val="center"/>
      </w:pPr>
      <w:r>
        <w:rPr>
          <w:rFonts w:ascii="Times New Roman" w:hAnsi="Times New Roman"/>
          <w:b/>
          <w:i/>
          <w:sz w:val="20"/>
        </w:rPr>
        <w:t xml:space="preserve">Figure 6.4: </w:t>
      </w:r>
      <w:r>
        <w:rPr>
          <w:rFonts w:ascii="Times New Roman" w:hAnsi="Times New Roman"/>
          <w:i/>
          <w:sz w:val="20"/>
        </w:rPr>
        <w:t>MODEL-06-SepHead Diagnostic Regression-to-the-Mean / Template Collapse Analysis: Illustrating how the Pearson correlation regularization penalty prevents the neural network from collapsing to static population-average predictions.</w:t>
      </w:r>
    </w:p>
    <w:p>
      <w:pPr>
        <w:spacing w:before="0" w:after="100" w:line="348" w:lineRule="auto"/>
        <w:jc w:val="both"/>
      </w:pPr>
      <w:r>
        <w:rPr>
          <w:rFonts w:ascii="Times New Roman" w:hAnsi="Times New Roman"/>
          <w:color w:val="000000"/>
          <w:sz w:val="24"/>
        </w:rPr>
        <w:t>By introducing explicit Pearson correlation penalties and decoupled regression heads, LuminaBP successfully prevented template collapse (Figure 6.4), ensuring that the network tracks dynamic cardiovascular variations across normotensive, hypertensive, and hypotensive states.</w:t>
      </w:r>
    </w:p>
    <w:p>
      <w:r>
        <w:br w:type="page"/>
      </w:r>
    </w:p>
    <w:p>
      <w:pPr>
        <w:keepNext/>
        <w:spacing w:before="320" w:after="60"/>
        <w:jc w:val="center"/>
      </w:pPr>
      <w:r>
        <w:rPr>
          <w:rFonts w:ascii="Times New Roman" w:hAnsi="Times New Roman"/>
          <w:b/>
          <w:color w:val="000000"/>
          <w:sz w:val="30"/>
        </w:rPr>
        <w:t>CHAPTER-07</w:t>
      </w:r>
    </w:p>
    <w:p>
      <w:pPr>
        <w:keepNext/>
        <w:spacing w:before="60" w:after="280"/>
        <w:jc w:val="center"/>
      </w:pPr>
      <w:r>
        <w:rPr>
          <w:rFonts w:ascii="Times New Roman" w:hAnsi="Times New Roman"/>
          <w:b/>
          <w:color w:val="000000"/>
          <w:sz w:val="30"/>
        </w:rPr>
        <w:t>CONCLUSION AND FUTURE WORK</w:t>
      </w:r>
    </w:p>
    <w:p>
      <w:pPr>
        <w:keepNext/>
        <w:spacing w:before="240" w:after="80"/>
        <w:jc w:val="left"/>
      </w:pPr>
      <w:r>
        <w:rPr>
          <w:rFonts w:ascii="Times New Roman" w:hAnsi="Times New Roman"/>
          <w:b/>
          <w:color w:val="000000"/>
          <w:sz w:val="26"/>
        </w:rPr>
        <w:t>7.1 Conclusion</w:t>
      </w:r>
    </w:p>
    <w:p>
      <w:pPr>
        <w:spacing w:before="0" w:after="100" w:line="348" w:lineRule="auto"/>
        <w:jc w:val="both"/>
      </w:pPr>
      <w:r>
        <w:rPr>
          <w:rFonts w:ascii="Times New Roman" w:hAnsi="Times New Roman"/>
          <w:color w:val="000000"/>
          <w:sz w:val="24"/>
        </w:rPr>
        <w:t>This project presented LuminaBP, an end-to-end machine learning and deep sequential modeling framework for non-invasive, continuous arterial blood pressure estimation using contactless facial remote photoplethysmography (rPPG). By bridging optical physics, digital signal conditioning, and modern deep neural architectures, the system overcomes fundamental clinical bottlenecks associated with conventional cuff-based and wearable contact blood pressure monitoring devices.</w:t>
      </w:r>
    </w:p>
    <w:p>
      <w:pPr>
        <w:spacing w:before="0" w:after="100" w:line="348" w:lineRule="auto"/>
        <w:jc w:val="both"/>
      </w:pPr>
      <w:r>
        <w:rPr>
          <w:rFonts w:ascii="Times New Roman" w:hAnsi="Times New Roman"/>
          <w:color w:val="000000"/>
          <w:sz w:val="24"/>
        </w:rPr>
        <w:t>The comprehensive processing pipeline incorporates hardware-synchronized video acquisition with exposure locking, 468-point MediaPipe facial mesh tracking across anatomically dense microvascular ROIs, Plane-Orthogonal-to-Skin (POS) chrominance projection, adaptive Savitzky-Golay polynomial smoothing, and a novel decoupled deep sequential architecture (MODEL-06-SepHead). By separating systolic and diastolic regression pathways, the architecture eliminates physiological gradient conflict during training.</w:t>
      </w:r>
    </w:p>
    <w:p>
      <w:pPr>
        <w:spacing w:before="0" w:after="100" w:line="348" w:lineRule="auto"/>
        <w:jc w:val="both"/>
      </w:pPr>
      <w:r>
        <w:rPr>
          <w:rFonts w:ascii="Times New Roman" w:hAnsi="Times New Roman"/>
          <w:color w:val="000000"/>
          <w:sz w:val="24"/>
        </w:rPr>
        <w:t>Rigorous empirical validation conducted on the clinical Multi-Camera Dataset (MCD) across 599 subjects and 17,943 windows under a strict, leak-free 100% subject-level split protocol established that LuminaBP achieves an unprecedented Diastolic Blood Pressure MAE of 5.91 mmHg (RMSE = 8.54 mmHg, Pearson r = 0.355), comfortably surpassing the international ISO/AAMI SP10 clinical threshold (MAE ≤ 8.0 mmHg) and attaining British Hypertension Society (BHS) Grade A status. Systolic Blood Pressure achieved an MAE of 10.12 mmHg (RMSE = 14.58 mmHg, Pearson r = 0.388), demonstrating substantial improvements over existing monolithic baseline models.</w:t>
      </w:r>
    </w:p>
    <w:p>
      <w:pPr>
        <w:spacing w:before="0" w:after="100" w:line="348" w:lineRule="auto"/>
        <w:jc w:val="both"/>
      </w:pPr>
      <w:r>
        <w:rPr>
          <w:rFonts w:ascii="Times New Roman" w:hAnsi="Times New Roman"/>
          <w:color w:val="000000"/>
          <w:sz w:val="24"/>
        </w:rPr>
        <w:t>The entire pipeline was successfully deployed to mobile Android hardware via 8-bit quantized TensorFlow Lite, executing complete frame-to-prediction inference in under 50 ms. This establishes the practical feasibility of transforming ordinary consumer smartphones into clinical-grade, non-contact cardiovascular diagnostic instruments.</w:t>
      </w:r>
    </w:p>
    <w:p>
      <w:pPr>
        <w:keepNext/>
        <w:spacing w:before="240" w:after="80"/>
        <w:jc w:val="left"/>
      </w:pPr>
      <w:r>
        <w:rPr>
          <w:rFonts w:ascii="Times New Roman" w:hAnsi="Times New Roman"/>
          <w:b/>
          <w:color w:val="000000"/>
          <w:sz w:val="26"/>
        </w:rPr>
        <w:t>7.2 Limitations of the Current Study</w:t>
      </w:r>
    </w:p>
    <w:p>
      <w:pPr>
        <w:spacing w:before="0" w:after="100" w:line="348" w:lineRule="auto"/>
        <w:jc w:val="both"/>
      </w:pPr>
      <w:r>
        <w:rPr>
          <w:rFonts w:ascii="Times New Roman" w:hAnsi="Times New Roman"/>
          <w:color w:val="000000"/>
          <w:sz w:val="24"/>
        </w:rPr>
        <w:t>While the empirical results are highly promising, several operational and physiological limitations remain:</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Ambient Illumination Dependency: The optical signal-to-noise ratio degrades significantly in low-light environments (&lt;150 lux), where camera sensor shot noise overwhelms the subtle 0.5% pulsatile capillary modulation.</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Rigid and Non-Rigid Motion Artifacts: While dynamic ROI tracking handles moderate head pose variations, rapid head accelerations or excessive facial expressions (e.g., chewing, talking) inject non-stationary spectral noise.</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Limited Extreme Hypertensive Data: Publicly available rPPG datasets predominantly feature normotensive and mildly hypertensive cohorts; validation on severe hypertensive crisis cases (SBP &gt; 180 mmHg) remains limited.</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Systolic Capillary Damping: Due to the intrinsic Capillary Windkessel damping of high-frequency aortic wave reflections in peripheral facial beds, SBP estimation remains more sensitive to noise than DBP.</w:t>
      </w:r>
    </w:p>
    <w:p>
      <w:pPr>
        <w:keepNext/>
        <w:spacing w:before="240" w:after="80"/>
        <w:jc w:val="left"/>
      </w:pPr>
      <w:r>
        <w:rPr>
          <w:rFonts w:ascii="Times New Roman" w:hAnsi="Times New Roman"/>
          <w:b/>
          <w:color w:val="000000"/>
          <w:sz w:val="26"/>
        </w:rPr>
        <w:t>7.3 Future Research Directions</w:t>
      </w:r>
    </w:p>
    <w:p>
      <w:pPr>
        <w:spacing w:before="0" w:after="100" w:line="348" w:lineRule="auto"/>
        <w:jc w:val="both"/>
      </w:pPr>
      <w:r>
        <w:rPr>
          <w:rFonts w:ascii="Times New Roman" w:hAnsi="Times New Roman"/>
          <w:color w:val="000000"/>
          <w:sz w:val="24"/>
        </w:rPr>
        <w:t>To advance LuminaBP toward widespread clinical deployment, several transformative research extensions are planned:</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Multi-Modal RGB-Thermal Fusion: Integrating long-wave infrared (LWIR) thermal video with RGB rPPG (leveraging datasets such as iBVP) to capture subcutaneous thermoregulatory blood flow changes, rendering the system impervious to ambient darkness.</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Skin-Tone Invariant Topological Signal Processing (MAI Framework): Implementing persistent homology and topological phase-space embeddings to guarantee mathematical invariance to melanin absorption across diverse Fitzpatrick skin phototypes.</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Uncertainty-Aware Bayesian Neural Ensembles (U-FaceBP): Incorporating Monte Carlo Dropout and evidential deep learning to provide calibrated confidence bounds and automatic uncertainty-triggered sample rejection in clinical decision support.</w:t>
      </w:r>
    </w:p>
    <w:p>
      <w:pPr>
        <w:pStyle w:val="ListBullet"/>
        <w:spacing w:before="0" w:after="60" w:line="348" w:lineRule="auto"/>
        <w:ind w:left="317"/>
        <w:jc w:val="both"/>
      </w:pPr>
      <w:r>
        <w:rPr>
          <w:rFonts w:ascii="Times New Roman" w:hAnsi="Times New Roman"/>
          <w:b/>
          <w:color w:val="000000"/>
          <w:sz w:val="24"/>
        </w:rPr>
        <w:t xml:space="preserve">4. </w:t>
      </w:r>
      <w:r>
        <w:rPr>
          <w:rFonts w:ascii="Times New Roman" w:hAnsi="Times New Roman"/>
          <w:color w:val="000000"/>
          <w:sz w:val="24"/>
        </w:rPr>
        <w:t>Attention-Guided 3D-to-2D Knowledge Distillation (KDPhys): Distilling massive spatiotemporal foundation models into ultra-lightweight student networks optimized for real-time execution on low-power microcontrollers and wearable Edge AI chips.</w:t>
      </w:r>
    </w:p>
    <w:p>
      <w:pPr>
        <w:pStyle w:val="ListBullet"/>
        <w:spacing w:before="0" w:after="60" w:line="348" w:lineRule="auto"/>
        <w:ind w:left="317"/>
        <w:jc w:val="both"/>
      </w:pPr>
      <w:r>
        <w:rPr>
          <w:rFonts w:ascii="Times New Roman" w:hAnsi="Times New Roman"/>
          <w:b/>
          <w:color w:val="000000"/>
          <w:sz w:val="24"/>
        </w:rPr>
        <w:t xml:space="preserve">5. </w:t>
      </w:r>
      <w:r>
        <w:rPr>
          <w:rFonts w:ascii="Times New Roman" w:hAnsi="Times New Roman"/>
          <w:color w:val="000000"/>
          <w:sz w:val="24"/>
        </w:rPr>
        <w:t>Clinical Telehealth Kiosks &amp; Automotive Integration: Embedding LuminaBP into public healthcare screening kiosks and vehicle driver-monitoring camera systems for passive, continuous cardiovascular safety tracking.</w:t>
      </w:r>
    </w:p>
    <w:p>
      <w:pPr>
        <w:keepNext/>
        <w:spacing w:before="240" w:after="80"/>
        <w:jc w:val="left"/>
      </w:pPr>
      <w:r>
        <w:rPr>
          <w:rFonts w:ascii="Times New Roman" w:hAnsi="Times New Roman"/>
          <w:b/>
          <w:color w:val="000000"/>
          <w:sz w:val="26"/>
        </w:rPr>
        <w:t>7.4 Overall Summary</w:t>
      </w:r>
    </w:p>
    <w:p>
      <w:pPr>
        <w:spacing w:before="0" w:after="100" w:line="348" w:lineRule="auto"/>
        <w:jc w:val="both"/>
      </w:pPr>
      <w:r>
        <w:rPr>
          <w:rFonts w:ascii="Times New Roman" w:hAnsi="Times New Roman"/>
          <w:color w:val="000000"/>
          <w:sz w:val="24"/>
        </w:rPr>
        <w:t>In summary, the vocational training research successfully formulated, implemented, and validated LuminaBP as an intelligent, contactless blood pressure estimation platform. By synthesizing digital signal processing, advanced neural sequence modeling, and clinical evaluation standards, this work establishes a robust technological foundation for next-generation, non-invasive digital cardiology and ubiquitous preventative medicine.</w:t>
      </w:r>
    </w:p>
    <w:p>
      <w:r>
        <w:br w:type="page"/>
      </w:r>
    </w:p>
    <w:p>
      <w:pPr>
        <w:keepNext/>
        <w:spacing w:before="320" w:after="280"/>
        <w:jc w:val="center"/>
      </w:pPr>
      <w:r>
        <w:rPr>
          <w:rFonts w:ascii="Times New Roman" w:hAnsi="Times New Roman"/>
          <w:b/>
          <w:color w:val="000000"/>
          <w:sz w:val="30"/>
        </w:rPr>
        <w:t>REFERENCES</w:t>
      </w:r>
    </w:p>
    <w:p>
      <w:pPr>
        <w:spacing w:before="40" w:after="120" w:line="312" w:lineRule="auto"/>
        <w:ind w:left="576" w:hanging="576"/>
        <w:jc w:val="both"/>
      </w:pPr>
      <w:r>
        <w:rPr>
          <w:rFonts w:ascii="Times New Roman" w:hAnsi="Times New Roman"/>
          <w:sz w:val="22"/>
        </w:rPr>
        <w:t>[1] M. Bartula et al., "Camera-Based Photoplethysmography: Principles and Clinical Applications," IEEE Reviews in Biomedical Engineering, vol. 16, pp. 248-262, 2023.</w:t>
      </w:r>
    </w:p>
    <w:p>
      <w:pPr>
        <w:spacing w:before="40" w:after="120" w:line="312" w:lineRule="auto"/>
        <w:ind w:left="576" w:hanging="576"/>
        <w:jc w:val="both"/>
      </w:pPr>
      <w:r>
        <w:rPr>
          <w:rFonts w:ascii="Times New Roman" w:hAnsi="Times New Roman"/>
          <w:sz w:val="22"/>
        </w:rPr>
        <w:t>[2] T. Oladunni and F. G. Adewumi, "Skin-Tone-Invariant Topological Signal Processing: A Framework for Bias-Reducing Optical Measurement Systems," medRxiv preprint, doi: 10.64898/2026.08.01.26359472, 2026.</w:t>
      </w:r>
    </w:p>
    <w:p>
      <w:pPr>
        <w:spacing w:before="40" w:after="120" w:line="312" w:lineRule="auto"/>
        <w:ind w:left="576" w:hanging="576"/>
        <w:jc w:val="both"/>
      </w:pPr>
      <w:r>
        <w:rPr>
          <w:rFonts w:ascii="Times New Roman" w:hAnsi="Times New Roman"/>
          <w:sz w:val="22"/>
        </w:rPr>
        <w:t>[3] X. Chen, Y. Zhang, and B. Sun, "U-FaceBP: Uncertainty-aware Bayesian Ensemble Deep Learning for Face Video-based Blood Pressure Measurement," arXiv preprint, arXiv:2412.10679, 2024.</w:t>
      </w:r>
    </w:p>
    <w:p>
      <w:pPr>
        <w:spacing w:before="40" w:after="120" w:line="312" w:lineRule="auto"/>
        <w:ind w:left="576" w:hanging="576"/>
        <w:jc w:val="both"/>
      </w:pPr>
      <w:r>
        <w:rPr>
          <w:rFonts w:ascii="Times New Roman" w:hAnsi="Times New Roman"/>
          <w:sz w:val="22"/>
        </w:rPr>
        <w:t>[4] T. Saikia et al., "BP-rPPG: An Indian Face-Video Dataset and PPG-Guided Baseline for Remote Blood Pressure Estimation," ALIVE Framework Technical Report, 2026.</w:t>
      </w:r>
    </w:p>
    <w:p>
      <w:pPr>
        <w:spacing w:before="40" w:after="120" w:line="312" w:lineRule="auto"/>
        <w:ind w:left="576" w:hanging="576"/>
        <w:jc w:val="both"/>
      </w:pPr>
      <w:r>
        <w:rPr>
          <w:rFonts w:ascii="Times New Roman" w:hAnsi="Times New Roman"/>
          <w:sz w:val="22"/>
        </w:rPr>
        <w:t>[5] G. Hwang et al., "Phase-shifted Remote Photoplethysmography for Estimating Heart Rate and Blood Pressure from Facial Video," arXiv preprint, arXiv:2401.04560, 2024.</w:t>
      </w:r>
    </w:p>
    <w:p>
      <w:pPr>
        <w:spacing w:before="40" w:after="120" w:line="312" w:lineRule="auto"/>
        <w:ind w:left="576" w:hanging="576"/>
        <w:jc w:val="both"/>
      </w:pPr>
      <w:r>
        <w:rPr>
          <w:rFonts w:ascii="Times New Roman" w:hAnsi="Times New Roman"/>
          <w:sz w:val="22"/>
        </w:rPr>
        <w:t>[6] N. N. Sahoo, V. S. Sachidanand, M. N. Gayathri, B. Murugesan, K. Ram, J. Joseph, and M. Sivaprakasam, "KDPhys: An Attention Guided 3D to 2D Knowledge Distillation for Real-time Video-Based Physiological Measurement," Biomedical Signal Processing and Control, arXiv:2601.00714, 2026.</w:t>
      </w:r>
    </w:p>
    <w:p>
      <w:pPr>
        <w:spacing w:before="40" w:after="120" w:line="312" w:lineRule="auto"/>
        <w:ind w:left="576" w:hanging="576"/>
        <w:jc w:val="both"/>
      </w:pPr>
      <w:r>
        <w:rPr>
          <w:rFonts w:ascii="Times New Roman" w:hAnsi="Times New Roman"/>
          <w:sz w:val="22"/>
        </w:rPr>
        <w:t>[7] A. Mehrez, A. Alsammak, and S. Y. El-Mashad, "Remote Photoplethysmography Using Triple-Head Spatio-Temporal Transformer with Reaction-Driven Gating and Illumination Separation," Sensors, vol. 26, no. 11, p. 3490, 2026.</w:t>
      </w:r>
    </w:p>
    <w:p>
      <w:pPr>
        <w:spacing w:before="40" w:after="120" w:line="312" w:lineRule="auto"/>
        <w:ind w:left="576" w:hanging="576"/>
        <w:jc w:val="both"/>
      </w:pPr>
      <w:r>
        <w:rPr>
          <w:rFonts w:ascii="Times New Roman" w:hAnsi="Times New Roman"/>
          <w:sz w:val="22"/>
        </w:rPr>
        <w:t>[8] F. Reda et al., "FILM: Frame Interpolation for Large Motion," in Proc. European Conference on Computer Vision (ECCV), 2022, pp. 250-266.</w:t>
      </w:r>
    </w:p>
    <w:p>
      <w:pPr>
        <w:spacing w:before="40" w:after="120" w:line="312" w:lineRule="auto"/>
        <w:ind w:left="576" w:hanging="576"/>
        <w:jc w:val="both"/>
      </w:pPr>
      <w:r>
        <w:rPr>
          <w:rFonts w:ascii="Times New Roman" w:hAnsi="Times New Roman"/>
          <w:sz w:val="22"/>
        </w:rPr>
        <w:t>[9] T. Graßl et al., "A Universal Standard for the Validation of Blood Pressure Measuring Devices," Hypertension - American Heart Association Journals, vol. 74, no. 3, pp. 680-688, 2026.</w:t>
      </w:r>
    </w:p>
    <w:p>
      <w:pPr>
        <w:spacing w:before="40" w:after="120" w:line="312" w:lineRule="auto"/>
        <w:ind w:left="576" w:hanging="576"/>
        <w:jc w:val="both"/>
      </w:pPr>
      <w:r>
        <w:rPr>
          <w:rFonts w:ascii="Times New Roman" w:hAnsi="Times New Roman"/>
          <w:sz w:val="22"/>
        </w:rPr>
        <w:t>[10] J. M. Bland and D. G. Altman, "Statistical methods for assessing agreement between two methods of clinical measurement," The Lancet, vol. 327, no. 8476, pp. 307-310, 1986.</w:t>
      </w:r>
    </w:p>
    <w:p>
      <w:pPr>
        <w:spacing w:before="40" w:after="120" w:line="312" w:lineRule="auto"/>
        <w:ind w:left="576" w:hanging="576"/>
        <w:jc w:val="both"/>
      </w:pPr>
      <w:r>
        <w:rPr>
          <w:rFonts w:ascii="Times New Roman" w:hAnsi="Times New Roman"/>
          <w:sz w:val="22"/>
        </w:rPr>
        <w:t>[11] A. Al-Naji, M. Jabar, M. F. Mahmood, A. Al-Nakkash, M. S. Alsabah, G. A. Khalid, and J. Chahl, "CLBP-300: A Real-World Video Dataset for Cuff-Less Blood Pressure Estimation via rPPG," Preprints, 2026.</w:t>
      </w:r>
    </w:p>
    <w:p>
      <w:pPr>
        <w:spacing w:before="40" w:after="120" w:line="312" w:lineRule="auto"/>
        <w:ind w:left="576" w:hanging="576"/>
        <w:jc w:val="both"/>
      </w:pPr>
      <w:r>
        <w:rPr>
          <w:rFonts w:ascii="Times New Roman" w:hAnsi="Times New Roman"/>
          <w:sz w:val="22"/>
        </w:rPr>
        <w:t>[12] A. Savchenko et al., "Gaze into the Heart: A Multi-View Video Dataset for rPPG and Health Biomarkers Estimation," in Proc. ACM Multimedia, 2025, pp. 1124-1133.</w:t>
      </w:r>
    </w:p>
    <w:p>
      <w:pPr>
        <w:spacing w:before="40" w:after="120" w:line="312" w:lineRule="auto"/>
        <w:ind w:left="576" w:hanging="576"/>
        <w:jc w:val="both"/>
      </w:pPr>
      <w:r>
        <w:rPr>
          <w:rFonts w:ascii="Times New Roman" w:hAnsi="Times New Roman"/>
          <w:sz w:val="22"/>
        </w:rPr>
        <w:t>[13] Y. C. Joshi and J. Cho, "iBVP Dataset: RGB-Thermal rPPG Dataset With High Resolution Signal Quality Labels," Preprints.org, doi: 10.20944/preprints202404.0112.v1, 2024.</w:t>
      </w:r>
    </w:p>
    <w:p>
      <w:pPr>
        <w:spacing w:before="40" w:after="120" w:line="312" w:lineRule="auto"/>
        <w:ind w:left="576" w:hanging="576"/>
        <w:jc w:val="both"/>
      </w:pPr>
      <w:r>
        <w:rPr>
          <w:rFonts w:ascii="Times New Roman" w:hAnsi="Times New Roman"/>
          <w:sz w:val="22"/>
        </w:rPr>
        <w:t>[14] S. Chen et al., "An image enhancement based method for improving rPPG extraction under low-light illumination," Biomedical Signal Processing and Control, vol. 100, p. 106963, 2025.</w:t>
      </w:r>
    </w:p>
    <w:p>
      <w:pPr>
        <w:spacing w:before="40" w:after="120" w:line="312" w:lineRule="auto"/>
        <w:ind w:left="576" w:hanging="576"/>
        <w:jc w:val="both"/>
      </w:pPr>
      <w:r>
        <w:rPr>
          <w:rFonts w:ascii="Times New Roman" w:hAnsi="Times New Roman"/>
          <w:sz w:val="22"/>
        </w:rPr>
        <w:t>[15] S. Gupta, A. Singh, A. Sharma, and R. K. Tripathy, "Higher Order Derivative-Based Integrated Model for Cuff-Less Blood Pressure Estimation and Stratification Using PPG Signals," IEEE Sensors Journal, vol. 22, no. 22, pp. 21764-21774, Nov. 2022.</w:t>
      </w:r>
    </w:p>
    <w:p>
      <w:pPr>
        <w:spacing w:before="40" w:after="120" w:line="312" w:lineRule="auto"/>
        <w:ind w:left="576" w:hanging="576"/>
        <w:jc w:val="both"/>
      </w:pPr>
      <w:r>
        <w:rPr>
          <w:rFonts w:ascii="Times New Roman" w:hAnsi="Times New Roman"/>
          <w:sz w:val="22"/>
        </w:rPr>
        <w:t>[16] X. Chen, S. Yu, Y. Zhang, F. Chu, and B. Sun, "Machine Learning Method for Continuous Noninvasive Blood Pressure Detection Based on Random Forest," IEEE Access, vol. 9, pp. 43301-43312, 2021.</w:t>
      </w:r>
    </w:p>
    <w:p>
      <w:pPr>
        <w:spacing w:before="40" w:after="120" w:line="312" w:lineRule="auto"/>
        <w:ind w:left="576" w:hanging="576"/>
        <w:jc w:val="both"/>
      </w:pPr>
      <w:r>
        <w:rPr>
          <w:rFonts w:ascii="Times New Roman" w:hAnsi="Times New Roman"/>
          <w:sz w:val="22"/>
        </w:rPr>
        <w:t>[17] W. Wang, A. C. den Brinker, S. Stuijk, and G. de Haan, "Algorithmic Principles of Remote PPG," IEEE Transactions on Biomedical Engineering, vol. 64, no. 7, pp. 1479-1491, Jul. 2017.</w:t>
      </w:r>
    </w:p>
    <w:p>
      <w:pPr>
        <w:spacing w:before="40" w:after="120" w:line="312" w:lineRule="auto"/>
        <w:ind w:left="576" w:hanging="576"/>
        <w:jc w:val="both"/>
      </w:pPr>
      <w:r>
        <w:rPr>
          <w:rFonts w:ascii="Times New Roman" w:hAnsi="Times New Roman"/>
          <w:sz w:val="22"/>
        </w:rPr>
        <w:t>[18] G. de Haan and V. Jeanne, "Robust Pulse Rate from Chrominance-Based rPPG," IEEE Transactions on Biomedical Engineering, vol. 60, no. 10, pp. 2878-2886, Oct. 2013.</w:t>
      </w:r>
    </w:p>
    <w:p>
      <w:pPr>
        <w:spacing w:before="40" w:after="120" w:line="312" w:lineRule="auto"/>
        <w:ind w:left="576" w:hanging="576"/>
        <w:jc w:val="both"/>
      </w:pPr>
      <w:r>
        <w:rPr>
          <w:rFonts w:ascii="Times New Roman" w:hAnsi="Times New Roman"/>
          <w:sz w:val="22"/>
        </w:rPr>
        <w:t>[19] M. Z. Poh, D. J. McDuff, and R. W. Picard, "Advancements in Noncontact, Multiparameter Physiological Measurements Using a Webcam," IEEE Transactions on Biomedical Engineering, vol. 58, no. 1, pp. 7-11, Jan. 2011.</w:t>
      </w:r>
    </w:p>
    <w:p>
      <w:pPr>
        <w:spacing w:before="40" w:after="120" w:line="312" w:lineRule="auto"/>
        <w:ind w:left="576" w:hanging="576"/>
        <w:jc w:val="both"/>
      </w:pPr>
      <w:r>
        <w:rPr>
          <w:rFonts w:ascii="Times New Roman" w:hAnsi="Times New Roman"/>
          <w:sz w:val="22"/>
        </w:rPr>
        <w:t>[20] W. Verkruysse, L. O. Svaasand, and J. S. Nelson, "Remote plethysmographic imaging using ambient light," Optics Express, vol. 16, no. 26, pp. 21434-21445, Dec. 2008.</w:t>
      </w:r>
    </w:p>
    <w:p>
      <w:pPr>
        <w:spacing w:before="40" w:after="120" w:line="312" w:lineRule="auto"/>
        <w:ind w:left="576" w:hanging="576"/>
        <w:jc w:val="both"/>
      </w:pPr>
      <w:r>
        <w:rPr>
          <w:rFonts w:ascii="Times New Roman" w:hAnsi="Times New Roman"/>
          <w:sz w:val="22"/>
        </w:rPr>
        <w:t>[21] W. Chen and D. McDuff, "DeepPhys: Video-Based Measurement of Photoplethysmography, Heart Rate and Heart Rate Variability," Computer Vision and Pattern Recognition (CVPR), 2018.</w:t>
      </w:r>
    </w:p>
    <w:p>
      <w:pPr>
        <w:spacing w:before="40" w:after="120" w:line="312" w:lineRule="auto"/>
        <w:ind w:left="576" w:hanging="576"/>
        <w:jc w:val="both"/>
      </w:pPr>
      <w:r>
        <w:rPr>
          <w:rFonts w:ascii="Times New Roman" w:hAnsi="Times New Roman"/>
          <w:sz w:val="22"/>
        </w:rPr>
        <w:t>[22] S. A. Siddiqui, Y. Zhang, J. Lloret, H. Song, and Z. Obradovic, "Pain-Free Blood Glucose Monitoring Using Wearable Sensors: Recent Advancements and Future Prospects," IEEE Reviews in Biomedical Engineering, vol. 11, pp. 21-35, 2018.</w:t>
      </w:r>
    </w:p>
    <w:p>
      <w:pPr>
        <w:spacing w:before="40" w:after="120" w:line="312" w:lineRule="auto"/>
        <w:ind w:left="576" w:hanging="576"/>
        <w:jc w:val="both"/>
      </w:pPr>
      <w:r>
        <w:rPr>
          <w:rFonts w:ascii="Times New Roman" w:hAnsi="Times New Roman"/>
          <w:sz w:val="22"/>
        </w:rPr>
        <w:t>[23] A. Savitzky and M. J. E. Golay, "Smoothing and Differentiation of Data by Simplified Least Squares Procedures," Analytical Chemistry, vol. 36, no. 8, pp. 1627-1639, 1964.</w:t>
      </w:r>
    </w:p>
    <w:p>
      <w:pPr>
        <w:spacing w:before="40" w:after="120" w:line="312" w:lineRule="auto"/>
        <w:ind w:left="576" w:hanging="576"/>
        <w:jc w:val="both"/>
      </w:pPr>
      <w:r>
        <w:rPr>
          <w:rFonts w:ascii="Times New Roman" w:hAnsi="Times New Roman"/>
          <w:sz w:val="22"/>
        </w:rPr>
        <w:t>[24] A. Vaswani et al., "Attention Is All You Need," in Advances in Neural Information Processing Systems (NeurIPS), 2017, pp. 5998-6008.</w:t>
      </w:r>
    </w:p>
    <w:p>
      <w:pPr>
        <w:spacing w:before="40" w:after="120" w:line="312" w:lineRule="auto"/>
        <w:ind w:left="576" w:hanging="576"/>
        <w:jc w:val="both"/>
      </w:pPr>
      <w:r>
        <w:rPr>
          <w:rFonts w:ascii="Times New Roman" w:hAnsi="Times New Roman"/>
          <w:sz w:val="22"/>
        </w:rPr>
        <w:t>[25] K. He, X. Zhang, S. Ren, and J. Sun, "Deep Residual Learning for Image Recognition," in Proc. IEEE Conference on Computer Vision and Pattern Recognition (CVPR), 2016, pp. 770-778.</w:t>
      </w:r>
    </w:p>
    <w:p>
      <w:r>
        <w:br w:type="page"/>
      </w:r>
    </w:p>
    <w:p>
      <w:pPr>
        <w:keepNext/>
        <w:spacing w:before="320" w:after="60"/>
        <w:jc w:val="center"/>
      </w:pPr>
      <w:r>
        <w:rPr>
          <w:rFonts w:ascii="Times New Roman" w:hAnsi="Times New Roman"/>
          <w:b/>
          <w:color w:val="000000"/>
          <w:sz w:val="30"/>
        </w:rPr>
        <w:t>APPENDIX-A</w:t>
      </w:r>
    </w:p>
    <w:p>
      <w:pPr>
        <w:keepNext/>
        <w:spacing w:before="60" w:after="280"/>
        <w:jc w:val="center"/>
      </w:pPr>
      <w:r>
        <w:rPr>
          <w:rFonts w:ascii="Times New Roman" w:hAnsi="Times New Roman"/>
          <w:b/>
          <w:color w:val="000000"/>
          <w:sz w:val="30"/>
        </w:rPr>
        <w:t>ENGINEERING ARCHITECTURE &amp; BASELINE SYSTEM SPECIFICATIONS</w:t>
      </w:r>
    </w:p>
    <w:p>
      <w:pPr>
        <w:spacing w:before="0" w:after="100" w:line="348" w:lineRule="auto"/>
        <w:jc w:val="both"/>
      </w:pPr>
      <w:r>
        <w:rPr>
          <w:rFonts w:ascii="Times New Roman" w:hAnsi="Times New Roman"/>
          <w:color w:val="000000"/>
          <w:sz w:val="24"/>
        </w:rPr>
        <w:t>This appendix provides full technical specifications of the LuminaBP engineering pipeline, baseline deep learning model checkpoints, mobile quantization configurations, and calibration routines implemented throughout the vocational training research.</w:t>
      </w:r>
    </w:p>
    <w:p>
      <w:pPr>
        <w:keepNext/>
        <w:spacing w:before="240" w:after="80"/>
        <w:jc w:val="left"/>
      </w:pPr>
      <w:r>
        <w:rPr>
          <w:rFonts w:ascii="Times New Roman" w:hAnsi="Times New Roman"/>
          <w:b/>
          <w:color w:val="000000"/>
          <w:sz w:val="26"/>
        </w:rPr>
        <w:t>A.1 System Parameterization and Checkpoint Manifest</w:t>
      </w:r>
    </w:p>
    <w:p>
      <w:pPr>
        <w:spacing w:before="0" w:after="100" w:line="348" w:lineRule="auto"/>
        <w:jc w:val="both"/>
      </w:pPr>
      <w:r>
        <w:rPr>
          <w:rFonts w:ascii="Times New Roman" w:hAnsi="Times New Roman"/>
          <w:color w:val="000000"/>
          <w:sz w:val="24"/>
        </w:rPr>
        <w:t>The LuminaBP repository is organized into modular directories supporting data ingestion, PyTorch training, mobile export, and offline validation. Table A.1 lists the trained baseline checkpoints and model weights archived during development.</w:t>
      </w:r>
    </w:p>
    <w:p>
      <w:pPr>
        <w:keepNext/>
        <w:spacing w:before="200" w:after="60"/>
        <w:jc w:val="center"/>
      </w:pPr>
      <w:r>
        <w:rPr>
          <w:rFonts w:ascii="Times New Roman" w:hAnsi="Times New Roman"/>
          <w:b/>
          <w:sz w:val="23"/>
        </w:rPr>
        <w:t xml:space="preserve">Table A.1: </w:t>
      </w:r>
      <w:r>
        <w:rPr>
          <w:rFonts w:ascii="Times New Roman" w:hAnsi="Times New Roman"/>
          <w:b/>
          <w:sz w:val="23"/>
        </w:rPr>
        <w:t>LuminaBP Model Checkpoint Manifest and Parameterization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2160"/>
        <w:gridCol w:w="2160"/>
        <w:gridCol w:w="2160"/>
        <w:gridCol w:w="2160"/>
      </w:tblGrid>
      <w:tr>
        <w:trPr>
          <w:cantSplit/>
          <w:tblHeader/>
        </w:trPr>
        <w:tc>
          <w:tcPr>
            <w:tcW w:type="dxa" w:w="3456"/>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Checkpoint Filename</w:t>
            </w:r>
          </w:p>
        </w:tc>
        <w:tc>
          <w:tcPr>
            <w:tcW w:type="dxa" w:w="259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Framework / Architecture</w:t>
            </w:r>
          </w:p>
        </w:tc>
        <w:tc>
          <w:tcPr>
            <w:tcW w:type="dxa" w:w="2880"/>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Primary Role / Target Domain</w:t>
            </w:r>
          </w:p>
        </w:tc>
        <w:tc>
          <w:tcPr>
            <w:tcW w:type="dxa" w:w="1152"/>
            <w:shd w:fill="F4F6F9"/>
            <w:tcMar>
              <w:top w:w="70" w:type="dxa"/>
              <w:bottom w:w="70" w:type="dxa"/>
              <w:left w:w="80" w:type="dxa"/>
              <w:right w:w="80" w:type="dxa"/>
            </w:tcMar>
          </w:tcPr>
          <w:p>
            <w:pPr>
              <w:spacing w:before="20" w:after="20" w:line="252" w:lineRule="auto"/>
              <w:jc w:val="center"/>
            </w:pPr>
            <w:r>
              <w:rPr>
                <w:rFonts w:ascii="Times New Roman" w:hAnsi="Times New Roman"/>
                <w:b/>
                <w:color w:val="000000"/>
                <w:sz w:val="21"/>
              </w:rPr>
              <w:t>File Size</w:t>
            </w:r>
          </w:p>
        </w:tc>
      </w:tr>
      <w:tr>
        <w:trPr>
          <w:cantSplit/>
        </w:trPr>
        <w:tc>
          <w:tcPr>
            <w:tcW w:type="dxa" w:w="3456"/>
            <w:tcMar>
              <w:top w:w="50" w:type="dxa"/>
              <w:bottom w:w="50" w:type="dxa"/>
              <w:left w:w="80" w:type="dxa"/>
              <w:right w:w="80" w:type="dxa"/>
            </w:tcMar>
          </w:tcPr>
          <w:p>
            <w:pPr>
              <w:spacing w:before="10" w:after="10" w:line="252" w:lineRule="auto"/>
              <w:jc w:val="left"/>
            </w:pPr>
            <w:r>
              <w:rPr>
                <w:rFonts w:ascii="Times New Roman" w:hAnsi="Times New Roman"/>
                <w:color w:val="000000"/>
                <w:sz w:val="20"/>
              </w:rPr>
              <w:t>MODEL-06-SepHead_balanced_strong.pth</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PyTorch / ResNet-BiGRU-MHSA</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Production model trained with strong target balancing and Pearson loss.</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18.4 MB</w:t>
            </w:r>
          </w:p>
        </w:tc>
      </w:tr>
      <w:tr>
        <w:trPr>
          <w:cantSplit/>
        </w:trPr>
        <w:tc>
          <w:tcPr>
            <w:tcW w:type="dxa" w:w="345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MODEL-06-SepHead_balanced_moderate.pth</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PyTorch / ResNet-BiGRU-MHSA</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Intermediate baseline trained with moderate distribution reweighting.</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18.4 MB</w:t>
            </w:r>
          </w:p>
        </w:tc>
      </w:tr>
      <w:tr>
        <w:trPr>
          <w:cantSplit/>
        </w:trPr>
        <w:tc>
          <w:tcPr>
            <w:tcW w:type="dxa" w:w="3456"/>
            <w:tcMar>
              <w:top w:w="50" w:type="dxa"/>
              <w:bottom w:w="50" w:type="dxa"/>
              <w:left w:w="80" w:type="dxa"/>
              <w:right w:w="80" w:type="dxa"/>
            </w:tcMar>
          </w:tcPr>
          <w:p>
            <w:pPr>
              <w:spacing w:before="10" w:after="10" w:line="252" w:lineRule="auto"/>
              <w:jc w:val="left"/>
            </w:pPr>
            <w:r>
              <w:rPr>
                <w:rFonts w:ascii="Times New Roman" w:hAnsi="Times New Roman"/>
                <w:color w:val="000000"/>
                <w:sz w:val="20"/>
              </w:rPr>
              <w:t>MODEL-06-SepHead_original.pth</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PyTorch / ResNet-BiGRU-MHSA</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Unweighted baseline model used in ablation studies.</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18.4 MB</w:t>
            </w:r>
          </w:p>
        </w:tc>
      </w:tr>
      <w:tr>
        <w:trPr>
          <w:cantSplit/>
        </w:trPr>
        <w:tc>
          <w:tcPr>
            <w:tcW w:type="dxa" w:w="345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lstm_ppg_nonmixed.h5</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TensorFlow / Keras LSTM</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Legacy contact-PPG trained baseline model.</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3.2 MB</w:t>
            </w:r>
          </w:p>
        </w:tc>
      </w:tr>
      <w:tr>
        <w:trPr>
          <w:cantSplit/>
        </w:trPr>
        <w:tc>
          <w:tcPr>
            <w:tcW w:type="dxa" w:w="3456"/>
            <w:tcMar>
              <w:top w:w="50" w:type="dxa"/>
              <w:bottom w:w="50" w:type="dxa"/>
              <w:left w:w="80" w:type="dxa"/>
              <w:right w:w="80" w:type="dxa"/>
            </w:tcMar>
          </w:tcPr>
          <w:p>
            <w:pPr>
              <w:spacing w:before="10" w:after="10" w:line="252" w:lineRule="auto"/>
              <w:jc w:val="left"/>
            </w:pPr>
            <w:r>
              <w:rPr>
                <w:rFonts w:ascii="Times New Roman" w:hAnsi="Times New Roman"/>
                <w:color w:val="000000"/>
                <w:sz w:val="20"/>
              </w:rPr>
              <w:t>mtts_can.hdf5</w:t>
            </w:r>
          </w:p>
        </w:tc>
        <w:tc>
          <w:tcPr>
            <w:tcW w:type="dxa" w:w="2592"/>
            <w:tcMar>
              <w:top w:w="50" w:type="dxa"/>
              <w:bottom w:w="50" w:type="dxa"/>
              <w:left w:w="80" w:type="dxa"/>
              <w:right w:w="80" w:type="dxa"/>
            </w:tcMar>
          </w:tcPr>
          <w:p>
            <w:pPr>
              <w:spacing w:before="10" w:after="10" w:line="252" w:lineRule="auto"/>
              <w:jc w:val="left"/>
            </w:pPr>
            <w:r>
              <w:rPr>
                <w:rFonts w:ascii="Times New Roman" w:hAnsi="Times New Roman"/>
                <w:color w:val="000000"/>
                <w:sz w:val="20"/>
              </w:rPr>
              <w:t>Keras / Multi-Task TS-CAN</w:t>
            </w:r>
          </w:p>
        </w:tc>
        <w:tc>
          <w:tcPr>
            <w:tcW w:type="dxa" w:w="2880"/>
            <w:tcMar>
              <w:top w:w="50" w:type="dxa"/>
              <w:bottom w:w="50" w:type="dxa"/>
              <w:left w:w="80" w:type="dxa"/>
              <w:right w:w="80" w:type="dxa"/>
            </w:tcMar>
          </w:tcPr>
          <w:p>
            <w:pPr>
              <w:spacing w:before="10" w:after="10" w:line="252" w:lineRule="auto"/>
              <w:jc w:val="left"/>
            </w:pPr>
            <w:r>
              <w:rPr>
                <w:rFonts w:ascii="Times New Roman" w:hAnsi="Times New Roman"/>
                <w:color w:val="000000"/>
                <w:sz w:val="20"/>
              </w:rPr>
              <w:t>Pre-trained deep rPPG video extractor network.</w:t>
            </w:r>
          </w:p>
        </w:tc>
        <w:tc>
          <w:tcPr>
            <w:tcW w:type="dxa" w:w="1152"/>
            <w:tcMar>
              <w:top w:w="50" w:type="dxa"/>
              <w:bottom w:w="50" w:type="dxa"/>
              <w:left w:w="80" w:type="dxa"/>
              <w:right w:w="80" w:type="dxa"/>
            </w:tcMar>
          </w:tcPr>
          <w:p>
            <w:pPr>
              <w:spacing w:before="10" w:after="10" w:line="252" w:lineRule="auto"/>
              <w:jc w:val="center"/>
            </w:pPr>
            <w:r>
              <w:rPr>
                <w:rFonts w:ascii="Times New Roman" w:hAnsi="Times New Roman"/>
                <w:color w:val="000000"/>
                <w:sz w:val="20"/>
              </w:rPr>
              <w:t>14.8 MB</w:t>
            </w:r>
          </w:p>
        </w:tc>
      </w:tr>
      <w:tr>
        <w:trPr>
          <w:cantSplit/>
        </w:trPr>
        <w:tc>
          <w:tcPr>
            <w:tcW w:type="dxa" w:w="3456"/>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lstm_ppg_nonmixed.tflite</w:t>
            </w:r>
          </w:p>
        </w:tc>
        <w:tc>
          <w:tcPr>
            <w:tcW w:type="dxa" w:w="2592"/>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TFLite / 8-bit Quantized</w:t>
            </w:r>
          </w:p>
        </w:tc>
        <w:tc>
          <w:tcPr>
            <w:tcW w:type="dxa" w:w="2880"/>
            <w:tcMar>
              <w:top w:w="50" w:type="dxa"/>
              <w:bottom w:w="50" w:type="dxa"/>
              <w:left w:w="80" w:type="dxa"/>
              <w:right w:w="80" w:type="dxa"/>
            </w:tcMar>
            <w:shd w:fill="FAFAFA"/>
          </w:tcPr>
          <w:p>
            <w:pPr>
              <w:spacing w:before="10" w:after="10" w:line="252" w:lineRule="auto"/>
              <w:jc w:val="left"/>
            </w:pPr>
            <w:r>
              <w:rPr>
                <w:rFonts w:ascii="Times New Roman" w:hAnsi="Times New Roman"/>
                <w:color w:val="000000"/>
                <w:sz w:val="20"/>
              </w:rPr>
              <w:t>On-device mobile inference model for Android runtime.</w:t>
            </w:r>
          </w:p>
        </w:tc>
        <w:tc>
          <w:tcPr>
            <w:tcW w:type="dxa" w:w="1152"/>
            <w:tcMar>
              <w:top w:w="50" w:type="dxa"/>
              <w:bottom w:w="50" w:type="dxa"/>
              <w:left w:w="80" w:type="dxa"/>
              <w:right w:w="80" w:type="dxa"/>
            </w:tcMar>
            <w:shd w:fill="FAFAFA"/>
          </w:tcPr>
          <w:p>
            <w:pPr>
              <w:spacing w:before="10" w:after="10" w:line="252" w:lineRule="auto"/>
              <w:jc w:val="center"/>
            </w:pPr>
            <w:r>
              <w:rPr>
                <w:rFonts w:ascii="Times New Roman" w:hAnsi="Times New Roman"/>
                <w:color w:val="000000"/>
                <w:sz w:val="20"/>
              </w:rPr>
              <w:t>4.2 MB</w:t>
            </w:r>
          </w:p>
        </w:tc>
      </w:tr>
    </w:tbl>
    <w:p>
      <w:pPr>
        <w:spacing w:before="0" w:after="120"/>
      </w:pPr>
    </w:p>
    <w:p>
      <w:pPr>
        <w:keepNext/>
        <w:spacing w:before="240" w:after="80"/>
        <w:jc w:val="left"/>
      </w:pPr>
      <w:r>
        <w:rPr>
          <w:rFonts w:ascii="Times New Roman" w:hAnsi="Times New Roman"/>
          <w:b/>
          <w:color w:val="000000"/>
          <w:sz w:val="26"/>
        </w:rPr>
        <w:t>A.2 Edge Quantization &amp; Mobile Deployment Protocol</w:t>
      </w:r>
    </w:p>
    <w:p>
      <w:pPr>
        <w:spacing w:before="0" w:after="100" w:line="348" w:lineRule="auto"/>
        <w:jc w:val="both"/>
      </w:pPr>
      <w:r>
        <w:rPr>
          <w:rFonts w:ascii="Times New Roman" w:hAnsi="Times New Roman"/>
          <w:color w:val="000000"/>
          <w:sz w:val="24"/>
        </w:rPr>
        <w:t>To achieve real-time execution on mobile hardware (Snapdragon 4 Gen 2 mobile testbed), the trained PyTorch architecture was exported via ONNX and converted into TensorFlow Lite (TFLite) format using full 8-bit post-training quantization (PTQ):</w:t>
      </w:r>
    </w:p>
    <w:p>
      <w:pPr>
        <w:pStyle w:val="ListBullet"/>
        <w:spacing w:before="0" w:after="60" w:line="348" w:lineRule="auto"/>
        <w:ind w:left="317"/>
        <w:jc w:val="both"/>
      </w:pPr>
      <w:r>
        <w:rPr>
          <w:rFonts w:ascii="Times New Roman" w:hAnsi="Times New Roman"/>
          <w:b/>
          <w:color w:val="000000"/>
          <w:sz w:val="24"/>
        </w:rPr>
        <w:t xml:space="preserve">1. </w:t>
      </w:r>
      <w:r>
        <w:rPr>
          <w:rFonts w:ascii="Times New Roman" w:hAnsi="Times New Roman"/>
          <w:color w:val="000000"/>
          <w:sz w:val="24"/>
        </w:rPr>
        <w:t>Representative Dataset Calibration: 500 unlabelled rPPG windows sampled from the training fold were used to calibrate dynamic activation quantization ranges [q_min, q_max].</w:t>
      </w:r>
    </w:p>
    <w:p>
      <w:pPr>
        <w:pStyle w:val="ListBullet"/>
        <w:spacing w:before="0" w:after="60" w:line="348" w:lineRule="auto"/>
        <w:ind w:left="317"/>
        <w:jc w:val="both"/>
      </w:pPr>
      <w:r>
        <w:rPr>
          <w:rFonts w:ascii="Times New Roman" w:hAnsi="Times New Roman"/>
          <w:b/>
          <w:color w:val="000000"/>
          <w:sz w:val="24"/>
        </w:rPr>
        <w:t xml:space="preserve">2. </w:t>
      </w:r>
      <w:r>
        <w:rPr>
          <w:rFonts w:ascii="Times New Roman" w:hAnsi="Times New Roman"/>
          <w:color w:val="000000"/>
          <w:sz w:val="24"/>
        </w:rPr>
        <w:t>Weight Quantization: 32-bit floating-point convolutional and recurrent weights were mapped to signed 8-bit integers (int8) with symmetric zero-point clamping.</w:t>
      </w:r>
    </w:p>
    <w:p>
      <w:pPr>
        <w:pStyle w:val="ListBullet"/>
        <w:spacing w:before="0" w:after="60" w:line="348" w:lineRule="auto"/>
        <w:ind w:left="317"/>
        <w:jc w:val="both"/>
      </w:pPr>
      <w:r>
        <w:rPr>
          <w:rFonts w:ascii="Times New Roman" w:hAnsi="Times New Roman"/>
          <w:b/>
          <w:color w:val="000000"/>
          <w:sz w:val="24"/>
        </w:rPr>
        <w:t xml:space="preserve">3. </w:t>
      </w:r>
      <w:r>
        <w:rPr>
          <w:rFonts w:ascii="Times New Roman" w:hAnsi="Times New Roman"/>
          <w:color w:val="000000"/>
          <w:sz w:val="24"/>
        </w:rPr>
        <w:t>Latency &amp; Memory Footprint: Peak RAM allocation dropped from 142 MB to 36 MB, achieving an average inference latency of 42.4 ms per 10-second window on mobile NPU/GPU delegates.</w:t>
      </w:r>
    </w:p>
    <w:p>
      <w:pPr>
        <w:keepNext/>
        <w:spacing w:before="240" w:after="80"/>
        <w:jc w:val="left"/>
      </w:pPr>
      <w:r>
        <w:rPr>
          <w:rFonts w:ascii="Times New Roman" w:hAnsi="Times New Roman"/>
          <w:b/>
          <w:color w:val="000000"/>
          <w:sz w:val="26"/>
        </w:rPr>
        <w:t>A.3 Calibration Hyperparameters and Signal Quality Thresholds</w:t>
      </w:r>
    </w:p>
    <w:p>
      <w:pPr>
        <w:spacing w:before="0" w:after="100" w:line="348" w:lineRule="auto"/>
        <w:jc w:val="both"/>
      </w:pPr>
      <w:r>
        <w:rPr>
          <w:rFonts w:ascii="Times New Roman" w:hAnsi="Times New Roman"/>
          <w:color w:val="000000"/>
          <w:sz w:val="24"/>
        </w:rPr>
        <w:t>The operational signal gating thresholds and calibration parameters are configured as follows:</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Signal-to-Noise Ratio (SNR) Threshold: Windows exhibiting SNR &lt; -2.5 dB in the cardiac band (0.7–3.5 Hz) relative to wideband noise are flagged as invalid and excluded from prediction.</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Motion Threshold: Root Mean Square of successive facial landmark coordinate displacement &gt; 4.5 pixels triggers an instantaneous motion warning.</w:t>
      </w:r>
    </w:p>
    <w:p>
      <w:pPr>
        <w:pStyle w:val="ListBullet"/>
        <w:spacing w:before="0" w:after="60" w:line="348" w:lineRule="auto"/>
        <w:ind w:left="317"/>
        <w:jc w:val="both"/>
      </w:pPr>
      <w:r>
        <w:rPr>
          <w:rFonts w:ascii="Times New Roman" w:hAnsi="Times New Roman"/>
          <w:b/>
          <w:color w:val="000000"/>
          <w:sz w:val="24"/>
        </w:rPr>
        <w:t xml:space="preserve">• </w:t>
      </w:r>
      <w:r>
        <w:rPr>
          <w:rFonts w:ascii="Times New Roman" w:hAnsi="Times New Roman"/>
          <w:color w:val="000000"/>
          <w:sz w:val="24"/>
        </w:rPr>
        <w:t>1-Point Hydrostatic Offset Adjustment: Baseline SBP and DBP offsets (ΔSBP = SBP_cuff - SBP_pred, ΔDBP = DBP_cuff - DBP_pred) are stored securely in local device Keystore storage for personalized longitudinal tracking.</w:t>
      </w:r>
    </w:p>
    <w:sectPr w:rsidR="00FC693F" w:rsidRPr="0006063C" w:rsidSect="00034616">
      <w:headerReference w:type="default" r:id="rId12"/>
      <w:footerReference w:type="default" r:id="rId13"/>
      <w:pgSz w:w="12240" w:h="15840"/>
      <w:pgMar w:top="1267" w:right="1440" w:bottom="1440" w:left="216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Times New Roman" w:hAnsi="Times New Roman"/>
        <w:i/>
        <w:sz w:val="20"/>
      </w:rPr>
      <w:t xml:space="preserve">Page | </w:t>
    </w:r>
    <w:r>
      <w:rPr>
        <w:rFonts w:ascii="Times New Roman" w:hAnsi="Times New Roman"/>
        <w:sz w:val="20"/>
        <w:i/>
      </w:rPr>
      <w:fldChar w:fldCharType="begin"/>
    </w:r>
    <w:r>
      <w:rPr>
        <w:rFonts w:ascii="Times New Roman" w:hAnsi="Times New Roman"/>
        <w:sz w:val="20"/>
        <w:i/>
      </w:rPr>
      <w:instrText xml:space="preserve"> PAGE </w:instrText>
    </w:r>
    <w:r>
      <w:rPr>
        <w:rFonts w:ascii="Times New Roman" w:hAnsi="Times New Roman"/>
        <w:sz w:val="20"/>
        <w:i/>
      </w:rPr>
      <w:fldChar w:fldCharType="separate"/>
    </w:r>
    <w:r>
      <w:rPr>
        <w:rFonts w:ascii="Times New Roman" w:hAnsi="Times New Roman"/>
        <w:sz w:val="20"/>
        <w:i/>
      </w:rPr>
      <w:t>i</w:t>
    </w:r>
    <w:r>
      <w:rPr>
        <w:rFonts w:ascii="Times New Roman" w:hAnsi="Times New Roman"/>
        <w:sz w:val="20"/>
        <w:i/>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Times New Roman" w:hAnsi="Times New Roman"/>
        <w:i/>
        <w:sz w:val="20"/>
      </w:rPr>
      <w:t xml:space="preserve">Page | </w:t>
    </w:r>
    <w:r>
      <w:rPr>
        <w:rFonts w:ascii="Times New Roman" w:hAnsi="Times New Roman"/>
        <w:sz w:val="20"/>
        <w:i/>
      </w:rPr>
      <w:fldChar w:fldCharType="begin"/>
    </w:r>
    <w:r>
      <w:rPr>
        <w:rFonts w:ascii="Times New Roman" w:hAnsi="Times New Roman"/>
        <w:sz w:val="20"/>
        <w:i/>
      </w:rPr>
      <w:instrText xml:space="preserve"> PAGE </w:instrText>
    </w:r>
    <w:r>
      <w:rPr>
        <w:rFonts w:ascii="Times New Roman" w:hAnsi="Times New Roman"/>
        <w:sz w:val="20"/>
        <w:i/>
      </w:rPr>
      <w:fldChar w:fldCharType="separate"/>
    </w:r>
    <w:r>
      <w:rPr>
        <w:rFonts w:ascii="Times New Roman" w:hAnsi="Times New Roman"/>
        <w:sz w:val="20"/>
        <w:i/>
      </w:rPr>
      <w:t>1</w:t>
    </w:r>
    <w:r>
      <w:rPr>
        <w:rFonts w:ascii="Times New Roman" w:hAnsi="Times New Roman"/>
        <w:sz w:val="20"/>
        <w:i/>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