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59997" w14:textId="12FD62BD" w:rsidR="00BE706A" w:rsidRPr="0032338A" w:rsidRDefault="002B0AD6" w:rsidP="002B0AD6">
      <w:pPr>
        <w:rPr>
          <w:rStyle w:val="BookTitle"/>
          <w:color w:val="0070C0"/>
          <w:sz w:val="48"/>
          <w:szCs w:val="48"/>
          <w:u w:val="single"/>
        </w:rPr>
      </w:pPr>
      <w:r w:rsidRPr="0032338A">
        <w:rPr>
          <w:rStyle w:val="BookTitle"/>
          <w:color w:val="0070C0"/>
          <w:sz w:val="48"/>
          <w:szCs w:val="48"/>
          <w:u w:val="single"/>
        </w:rPr>
        <w:t>CRYPTO CURRENCY PORTFOLIO ANALYSIS</w:t>
      </w:r>
    </w:p>
    <w:p w14:paraId="2FDE0330" w14:textId="37F482D4" w:rsidR="0032338A" w:rsidRDefault="0032338A" w:rsidP="0032338A">
      <w:pPr>
        <w:jc w:val="center"/>
        <w:rPr>
          <w:b/>
          <w:bCs/>
          <w:i/>
          <w:iCs/>
          <w:color w:val="0070C0"/>
          <w:spacing w:val="5"/>
          <w:u w:val="single"/>
        </w:rPr>
      </w:pPr>
      <w:r w:rsidRPr="0032338A">
        <w:rPr>
          <w:b/>
          <w:bCs/>
          <w:i/>
          <w:iCs/>
          <w:color w:val="0070C0"/>
          <w:spacing w:val="5"/>
          <w:u w:val="single"/>
        </w:rPr>
        <w:t>Performance &amp; Risk Report | May 2025 – May 2026</w:t>
      </w:r>
    </w:p>
    <w:p w14:paraId="0948FF47" w14:textId="77777777" w:rsidR="0032338A" w:rsidRDefault="0032338A" w:rsidP="0032338A">
      <w:pPr>
        <w:jc w:val="center"/>
        <w:rPr>
          <w:b/>
          <w:bCs/>
          <w:i/>
          <w:iCs/>
          <w:color w:val="0070C0"/>
          <w:spacing w:val="5"/>
          <w:u w:val="single"/>
        </w:rPr>
      </w:pPr>
    </w:p>
    <w:p w14:paraId="5BC97B50" w14:textId="6F91C959" w:rsidR="0032338A" w:rsidRPr="00360F83" w:rsidRDefault="0032338A" w:rsidP="0032338A">
      <w:pPr>
        <w:pStyle w:val="IntenseQuote"/>
        <w:rPr>
          <w:rStyle w:val="BookTitle"/>
          <w:rFonts w:ascii="Bookman Old Style" w:hAnsi="Bookman Old Style"/>
          <w:color w:val="2E74B5" w:themeColor="accent5" w:themeShade="BF"/>
          <w:sz w:val="32"/>
          <w:szCs w:val="32"/>
          <w:u w:val="single"/>
        </w:rPr>
      </w:pPr>
      <w:r w:rsidRPr="00360F83">
        <w:rPr>
          <w:rFonts w:ascii="Bookman Old Style" w:hAnsi="Bookman Old Style"/>
          <w:color w:val="2E74B5" w:themeColor="accent5" w:themeShade="BF"/>
          <w:sz w:val="32"/>
          <w:szCs w:val="32"/>
        </w:rPr>
        <w:t>INTRODUCTION</w:t>
      </w:r>
    </w:p>
    <w:p w14:paraId="3ACF81BF" w14:textId="687AD869" w:rsidR="007721AC" w:rsidRPr="007721AC" w:rsidRDefault="007721AC" w:rsidP="007721AC">
      <w:pPr>
        <w:rPr>
          <w:b/>
          <w:bCs/>
          <w:color w:val="0070C0"/>
          <w:spacing w:val="5"/>
          <w:sz w:val="28"/>
          <w:szCs w:val="28"/>
          <w:u w:val="single"/>
        </w:rPr>
      </w:pPr>
      <w:r w:rsidRPr="007721AC">
        <w:rPr>
          <w:b/>
          <w:bCs/>
          <w:i/>
          <w:iCs/>
          <w:color w:val="002060"/>
          <w:spacing w:val="5"/>
          <w:sz w:val="24"/>
          <w:szCs w:val="24"/>
        </w:rPr>
        <w:t>This report examines the performance and risk profile of three leading cryptocurrencies</w:t>
      </w:r>
      <w:r w:rsidR="00F3252E">
        <w:rPr>
          <w:b/>
          <w:bCs/>
          <w:i/>
          <w:iCs/>
          <w:color w:val="002060"/>
          <w:spacing w:val="5"/>
          <w:sz w:val="24"/>
          <w:szCs w:val="24"/>
        </w:rPr>
        <w:t xml:space="preserve"> - </w:t>
      </w:r>
      <w:r w:rsidRPr="007721AC">
        <w:rPr>
          <w:b/>
          <w:bCs/>
          <w:i/>
          <w:iCs/>
          <w:color w:val="002060"/>
          <w:spacing w:val="5"/>
          <w:sz w:val="24"/>
          <w:szCs w:val="24"/>
        </w:rPr>
        <w:t>Bitcoin (BTC), Ethereum (ETH), and Solana (SOL)over a 12month period spanning May 2025 to May 2026. The objective was to evaluate each asset's price movement, market capitalisation, volatility, and maximum drawdown, and to derive meaningful investment insights applicable to varying investor risk profiles.</w:t>
      </w:r>
    </w:p>
    <w:p w14:paraId="40C93BAF" w14:textId="77777777" w:rsidR="00845672" w:rsidRPr="00845672" w:rsidRDefault="00845672" w:rsidP="00845672">
      <w:pPr>
        <w:rPr>
          <w:b/>
          <w:bCs/>
          <w:color w:val="0070C0"/>
          <w:spacing w:val="5"/>
          <w:sz w:val="28"/>
          <w:szCs w:val="28"/>
          <w:u w:val="single"/>
        </w:rPr>
      </w:pPr>
      <w:r w:rsidRPr="00845672">
        <w:rPr>
          <w:b/>
          <w:bCs/>
          <w:color w:val="0070C0"/>
          <w:spacing w:val="5"/>
          <w:sz w:val="28"/>
          <w:szCs w:val="28"/>
          <w:u w:val="single"/>
        </w:rPr>
        <w:t>Bitcoin (BTC)</w:t>
      </w:r>
    </w:p>
    <w:p w14:paraId="03037036" w14:textId="233D625B" w:rsidR="00845672" w:rsidRPr="00845672" w:rsidRDefault="00845672" w:rsidP="00845672">
      <w:pPr>
        <w:rPr>
          <w:b/>
          <w:bCs/>
          <w:i/>
          <w:iCs/>
          <w:color w:val="002060"/>
          <w:spacing w:val="5"/>
          <w:sz w:val="24"/>
          <w:szCs w:val="24"/>
        </w:rPr>
      </w:pPr>
      <w:r w:rsidRPr="00845672">
        <w:rPr>
          <w:b/>
          <w:bCs/>
          <w:i/>
          <w:iCs/>
          <w:color w:val="002060"/>
          <w:spacing w:val="5"/>
          <w:sz w:val="24"/>
          <w:szCs w:val="24"/>
        </w:rPr>
        <w:t>Bitcoin is the world's largest cryptocurrency by market cap and is widely considered digital gold. It operates on a proof</w:t>
      </w:r>
      <w:r w:rsidR="00F3252E">
        <w:rPr>
          <w:b/>
          <w:bCs/>
          <w:i/>
          <w:iCs/>
          <w:color w:val="002060"/>
          <w:spacing w:val="5"/>
          <w:sz w:val="24"/>
          <w:szCs w:val="24"/>
        </w:rPr>
        <w:t xml:space="preserve"> </w:t>
      </w:r>
      <w:r w:rsidRPr="00845672">
        <w:rPr>
          <w:b/>
          <w:bCs/>
          <w:i/>
          <w:iCs/>
          <w:color w:val="002060"/>
          <w:spacing w:val="5"/>
          <w:sz w:val="24"/>
          <w:szCs w:val="24"/>
        </w:rPr>
        <w:t>of</w:t>
      </w:r>
      <w:r w:rsidR="00F3252E">
        <w:rPr>
          <w:b/>
          <w:bCs/>
          <w:i/>
          <w:iCs/>
          <w:color w:val="002060"/>
          <w:spacing w:val="5"/>
          <w:sz w:val="24"/>
          <w:szCs w:val="24"/>
        </w:rPr>
        <w:t xml:space="preserve"> </w:t>
      </w:r>
      <w:r w:rsidRPr="00845672">
        <w:rPr>
          <w:b/>
          <w:bCs/>
          <w:i/>
          <w:iCs/>
          <w:color w:val="002060"/>
          <w:spacing w:val="5"/>
          <w:sz w:val="24"/>
          <w:szCs w:val="24"/>
        </w:rPr>
        <w:t>work blockchain and has a fixed supply of 21 million coins. BTC is the most liquid and institutionally adopted crypto asset.</w:t>
      </w:r>
    </w:p>
    <w:p w14:paraId="35F46D9B" w14:textId="77777777" w:rsidR="00845672" w:rsidRPr="00845672" w:rsidRDefault="00845672" w:rsidP="00845672">
      <w:pPr>
        <w:rPr>
          <w:b/>
          <w:bCs/>
          <w:color w:val="0070C0"/>
          <w:spacing w:val="5"/>
          <w:sz w:val="28"/>
          <w:szCs w:val="28"/>
          <w:u w:val="single"/>
        </w:rPr>
      </w:pPr>
      <w:r w:rsidRPr="00845672">
        <w:rPr>
          <w:b/>
          <w:bCs/>
          <w:color w:val="0070C0"/>
          <w:spacing w:val="5"/>
          <w:sz w:val="28"/>
          <w:szCs w:val="28"/>
          <w:u w:val="single"/>
        </w:rPr>
        <w:t>Ethereum (ETH)</w:t>
      </w:r>
    </w:p>
    <w:p w14:paraId="7D1DB0AB" w14:textId="57804D65" w:rsidR="00845672" w:rsidRPr="00845672" w:rsidRDefault="00845672" w:rsidP="00845672">
      <w:pPr>
        <w:rPr>
          <w:b/>
          <w:bCs/>
          <w:i/>
          <w:iCs/>
          <w:color w:val="002060"/>
          <w:spacing w:val="5"/>
          <w:sz w:val="24"/>
          <w:szCs w:val="24"/>
        </w:rPr>
      </w:pPr>
      <w:r w:rsidRPr="00845672">
        <w:rPr>
          <w:b/>
          <w:bCs/>
          <w:i/>
          <w:iCs/>
          <w:color w:val="002060"/>
          <w:spacing w:val="5"/>
          <w:sz w:val="24"/>
          <w:szCs w:val="24"/>
        </w:rPr>
        <w:t>Ethereum is the leading smart contract platform powering DeFi, NFTs, and Web3 applications. After its shift to proof</w:t>
      </w:r>
      <w:r w:rsidR="00F3252E">
        <w:rPr>
          <w:b/>
          <w:bCs/>
          <w:i/>
          <w:iCs/>
          <w:color w:val="002060"/>
          <w:spacing w:val="5"/>
          <w:sz w:val="24"/>
          <w:szCs w:val="24"/>
        </w:rPr>
        <w:t xml:space="preserve"> </w:t>
      </w:r>
      <w:r w:rsidRPr="00845672">
        <w:rPr>
          <w:b/>
          <w:bCs/>
          <w:i/>
          <w:iCs/>
          <w:color w:val="002060"/>
          <w:spacing w:val="5"/>
          <w:sz w:val="24"/>
          <w:szCs w:val="24"/>
        </w:rPr>
        <w:t>of</w:t>
      </w:r>
      <w:r w:rsidR="00F3252E">
        <w:rPr>
          <w:b/>
          <w:bCs/>
          <w:i/>
          <w:iCs/>
          <w:color w:val="002060"/>
          <w:spacing w:val="5"/>
          <w:sz w:val="24"/>
          <w:szCs w:val="24"/>
        </w:rPr>
        <w:t xml:space="preserve"> </w:t>
      </w:r>
      <w:r w:rsidRPr="00845672">
        <w:rPr>
          <w:b/>
          <w:bCs/>
          <w:i/>
          <w:iCs/>
          <w:color w:val="002060"/>
          <w:spacing w:val="5"/>
          <w:sz w:val="24"/>
          <w:szCs w:val="24"/>
        </w:rPr>
        <w:t>stake, ETH has become more energy</w:t>
      </w:r>
      <w:r w:rsidR="00F3252E">
        <w:rPr>
          <w:b/>
          <w:bCs/>
          <w:i/>
          <w:iCs/>
          <w:color w:val="002060"/>
          <w:spacing w:val="5"/>
          <w:sz w:val="24"/>
          <w:szCs w:val="24"/>
        </w:rPr>
        <w:t xml:space="preserve"> </w:t>
      </w:r>
      <w:r w:rsidRPr="00845672">
        <w:rPr>
          <w:b/>
          <w:bCs/>
          <w:i/>
          <w:iCs/>
          <w:color w:val="002060"/>
          <w:spacing w:val="5"/>
          <w:sz w:val="24"/>
          <w:szCs w:val="24"/>
        </w:rPr>
        <w:t>efficient. It remains the backbone of decentralized finance and developer activity.</w:t>
      </w:r>
    </w:p>
    <w:p w14:paraId="770F8D66" w14:textId="77777777" w:rsidR="00845672" w:rsidRPr="00845672" w:rsidRDefault="00845672" w:rsidP="00845672">
      <w:pPr>
        <w:rPr>
          <w:b/>
          <w:bCs/>
          <w:color w:val="0070C0"/>
          <w:spacing w:val="5"/>
          <w:sz w:val="28"/>
          <w:szCs w:val="28"/>
          <w:u w:val="single"/>
        </w:rPr>
      </w:pPr>
      <w:r w:rsidRPr="00845672">
        <w:rPr>
          <w:b/>
          <w:bCs/>
          <w:color w:val="0070C0"/>
          <w:spacing w:val="5"/>
          <w:sz w:val="28"/>
          <w:szCs w:val="28"/>
          <w:u w:val="single"/>
        </w:rPr>
        <w:t>Solana (SOL)</w:t>
      </w:r>
    </w:p>
    <w:p w14:paraId="69247EE3" w14:textId="31629994" w:rsidR="00360F83" w:rsidRPr="00845672" w:rsidRDefault="00845672" w:rsidP="00845672">
      <w:pPr>
        <w:rPr>
          <w:b/>
          <w:bCs/>
          <w:i/>
          <w:iCs/>
          <w:color w:val="002060"/>
          <w:spacing w:val="5"/>
          <w:sz w:val="24"/>
          <w:szCs w:val="24"/>
        </w:rPr>
      </w:pPr>
      <w:r w:rsidRPr="00845672">
        <w:rPr>
          <w:b/>
          <w:bCs/>
          <w:i/>
          <w:iCs/>
          <w:color w:val="002060"/>
          <w:spacing w:val="5"/>
          <w:sz w:val="24"/>
          <w:szCs w:val="24"/>
        </w:rPr>
        <w:t>Solana is a high-performance blockchain known for its extremely fast transaction speeds and low fees. It has seen explosive growth in D</w:t>
      </w:r>
      <w:r w:rsidR="00F3252E">
        <w:rPr>
          <w:b/>
          <w:bCs/>
          <w:i/>
          <w:iCs/>
          <w:color w:val="002060"/>
          <w:spacing w:val="5"/>
          <w:sz w:val="24"/>
          <w:szCs w:val="24"/>
        </w:rPr>
        <w:t>E</w:t>
      </w:r>
      <w:r w:rsidRPr="00845672">
        <w:rPr>
          <w:b/>
          <w:bCs/>
          <w:i/>
          <w:iCs/>
          <w:color w:val="002060"/>
          <w:spacing w:val="5"/>
          <w:sz w:val="24"/>
          <w:szCs w:val="24"/>
        </w:rPr>
        <w:t>F</w:t>
      </w:r>
      <w:r w:rsidR="00F3252E">
        <w:rPr>
          <w:b/>
          <w:bCs/>
          <w:i/>
          <w:iCs/>
          <w:color w:val="002060"/>
          <w:spacing w:val="5"/>
          <w:sz w:val="24"/>
          <w:szCs w:val="24"/>
        </w:rPr>
        <w:t>I</w:t>
      </w:r>
      <w:r w:rsidRPr="00845672">
        <w:rPr>
          <w:b/>
          <w:bCs/>
          <w:i/>
          <w:iCs/>
          <w:color w:val="002060"/>
          <w:spacing w:val="5"/>
          <w:sz w:val="24"/>
          <w:szCs w:val="24"/>
        </w:rPr>
        <w:t xml:space="preserve"> and NFT ecosystems, though it has faced network outages in the past. SOL remains a hig</w:t>
      </w:r>
      <w:r w:rsidR="00F3252E">
        <w:rPr>
          <w:b/>
          <w:bCs/>
          <w:i/>
          <w:iCs/>
          <w:color w:val="002060"/>
          <w:spacing w:val="5"/>
          <w:sz w:val="24"/>
          <w:szCs w:val="24"/>
        </w:rPr>
        <w:t xml:space="preserve">h </w:t>
      </w:r>
      <w:r w:rsidRPr="00845672">
        <w:rPr>
          <w:b/>
          <w:bCs/>
          <w:i/>
          <w:iCs/>
          <w:color w:val="002060"/>
          <w:spacing w:val="5"/>
          <w:sz w:val="24"/>
          <w:szCs w:val="24"/>
        </w:rPr>
        <w:t>risk, hig</w:t>
      </w:r>
      <w:r w:rsidR="00F3252E">
        <w:rPr>
          <w:b/>
          <w:bCs/>
          <w:i/>
          <w:iCs/>
          <w:color w:val="002060"/>
          <w:spacing w:val="5"/>
          <w:sz w:val="24"/>
          <w:szCs w:val="24"/>
        </w:rPr>
        <w:t xml:space="preserve">h </w:t>
      </w:r>
      <w:r w:rsidRPr="00845672">
        <w:rPr>
          <w:b/>
          <w:bCs/>
          <w:i/>
          <w:iCs/>
          <w:color w:val="002060"/>
          <w:spacing w:val="5"/>
          <w:sz w:val="24"/>
          <w:szCs w:val="24"/>
        </w:rPr>
        <w:t>reward asset.</w:t>
      </w:r>
    </w:p>
    <w:p w14:paraId="04559E6C" w14:textId="77777777" w:rsidR="00845672" w:rsidRPr="00360F83" w:rsidRDefault="00845672" w:rsidP="00845672">
      <w:pPr>
        <w:pStyle w:val="IntenseQuote"/>
        <w:rPr>
          <w:rFonts w:ascii="Bookman Old Style" w:hAnsi="Bookman Old Style"/>
          <w:color w:val="2E74B5" w:themeColor="accent5" w:themeShade="BF"/>
          <w:spacing w:val="5"/>
          <w:sz w:val="32"/>
          <w:szCs w:val="32"/>
        </w:rPr>
      </w:pPr>
      <w:r w:rsidRPr="00845672">
        <w:rPr>
          <w:rFonts w:ascii="Bookman Old Style" w:hAnsi="Bookman Old Style"/>
          <w:color w:val="2E74B5" w:themeColor="accent5" w:themeShade="BF"/>
          <w:spacing w:val="5"/>
          <w:sz w:val="32"/>
          <w:szCs w:val="32"/>
        </w:rPr>
        <w:t>Performance Analysis (May 2025 – May 2026)</w:t>
      </w:r>
    </w:p>
    <w:p w14:paraId="7C94A8DC" w14:textId="4BF01F29" w:rsidR="00845672" w:rsidRPr="00360F83" w:rsidRDefault="00845672" w:rsidP="00845672">
      <w:pPr>
        <w:rPr>
          <w:b/>
          <w:bCs/>
          <w:i/>
          <w:iCs/>
          <w:color w:val="002060"/>
          <w:sz w:val="24"/>
          <w:szCs w:val="24"/>
        </w:rPr>
      </w:pPr>
      <w:r w:rsidRPr="00360F83">
        <w:rPr>
          <w:b/>
          <w:bCs/>
          <w:i/>
          <w:iCs/>
          <w:color w:val="002060"/>
          <w:sz w:val="24"/>
          <w:szCs w:val="24"/>
        </w:rPr>
        <w:t>The table below presents key price and market performance metrics for all three cryptocurrencies across the 1</w:t>
      </w:r>
      <w:r w:rsidR="00F3252E">
        <w:rPr>
          <w:b/>
          <w:bCs/>
          <w:i/>
          <w:iCs/>
          <w:color w:val="002060"/>
          <w:sz w:val="24"/>
          <w:szCs w:val="24"/>
        </w:rPr>
        <w:t>2</w:t>
      </w:r>
      <w:r w:rsidRPr="00360F83">
        <w:rPr>
          <w:b/>
          <w:bCs/>
          <w:i/>
          <w:iCs/>
          <w:color w:val="002060"/>
          <w:sz w:val="24"/>
          <w:szCs w:val="24"/>
        </w:rPr>
        <w:t>month review period.</w:t>
      </w:r>
    </w:p>
    <w:p w14:paraId="50DE8883" w14:textId="634E68EC" w:rsidR="00845672" w:rsidRDefault="00845672" w:rsidP="00845672">
      <w:pPr>
        <w:rPr>
          <w:b/>
          <w:bCs/>
          <w:i/>
          <w:iCs/>
          <w:sz w:val="24"/>
          <w:szCs w:val="24"/>
        </w:rPr>
      </w:pPr>
      <w:r w:rsidRPr="00360F83">
        <w:rPr>
          <w:color w:val="002060"/>
        </w:rPr>
        <w:t xml:space="preserve"> </w:t>
      </w:r>
      <w:r w:rsidRPr="00360F83">
        <w:rPr>
          <w:b/>
          <w:bCs/>
          <w:i/>
          <w:iCs/>
          <w:color w:val="002060"/>
          <w:sz w:val="24"/>
          <w:szCs w:val="24"/>
        </w:rPr>
        <w:t xml:space="preserve">Among the three assets, Ethereum delivered the highest percentage return, largely supported by rising DeFi activity and growing institutional participation. Solana posted respectable mid-range gains, though these came alongside notably higher price </w:t>
      </w:r>
      <w:r w:rsidR="00360F83" w:rsidRPr="00F3252E">
        <w:rPr>
          <w:b/>
          <w:bCs/>
          <w:i/>
          <w:iCs/>
          <w:color w:val="002060"/>
          <w:sz w:val="24"/>
          <w:szCs w:val="24"/>
        </w:rPr>
        <w:t>fluctuations. Bitcoin, despite recording the most modest percentage appreciation, demonstrated the greatest degree of price stability throughout the period</w:t>
      </w:r>
      <w:r w:rsidR="00360F83" w:rsidRPr="00845672">
        <w:rPr>
          <w:b/>
          <w:bCs/>
          <w:i/>
          <w:iCs/>
          <w:sz w:val="24"/>
          <w:szCs w:val="24"/>
        </w:rPr>
        <w:t>.</w:t>
      </w:r>
    </w:p>
    <w:tbl>
      <w:tblPr>
        <w:tblpPr w:leftFromText="180" w:rightFromText="180" w:vertAnchor="page" w:horzAnchor="margin" w:tblpY="1281"/>
        <w:tblW w:w="888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26"/>
        <w:gridCol w:w="2317"/>
        <w:gridCol w:w="2317"/>
        <w:gridCol w:w="2323"/>
      </w:tblGrid>
      <w:tr w:rsidR="00360F83" w:rsidRPr="00845672" w14:paraId="71F35F44" w14:textId="77777777" w:rsidTr="00360F83">
        <w:trPr>
          <w:trHeight w:val="433"/>
        </w:trPr>
        <w:tc>
          <w:tcPr>
            <w:tcW w:w="1926" w:type="dxa"/>
            <w:tcBorders>
              <w:top w:val="single" w:sz="2" w:space="0" w:color="1F4E79"/>
              <w:left w:val="single" w:sz="2" w:space="0" w:color="1F4E79"/>
              <w:bottom w:val="single" w:sz="2" w:space="0" w:color="1F4E79"/>
              <w:right w:val="single" w:sz="4" w:space="0" w:color="auto"/>
            </w:tcBorders>
            <w:shd w:val="clear" w:color="auto" w:fill="8EAADB" w:themeFill="accent1" w:themeFillTint="99"/>
            <w:tcMar>
              <w:top w:w="80" w:type="dxa"/>
              <w:left w:w="120" w:type="dxa"/>
              <w:bottom w:w="80" w:type="dxa"/>
              <w:right w:w="120" w:type="dxa"/>
            </w:tcMar>
            <w:hideMark/>
          </w:tcPr>
          <w:p w14:paraId="7635A056" w14:textId="77777777" w:rsidR="00360F83" w:rsidRPr="00845672" w:rsidRDefault="00360F83" w:rsidP="00360F83">
            <w:pPr>
              <w:rPr>
                <w:b/>
                <w:bCs/>
                <w:i/>
                <w:iCs/>
                <w:color w:val="002060"/>
                <w:sz w:val="24"/>
                <w:szCs w:val="24"/>
              </w:rPr>
            </w:pPr>
            <w:r w:rsidRPr="00845672">
              <w:rPr>
                <w:b/>
                <w:bCs/>
                <w:i/>
                <w:iCs/>
                <w:color w:val="002060"/>
                <w:sz w:val="24"/>
                <w:szCs w:val="24"/>
              </w:rPr>
              <w:lastRenderedPageBreak/>
              <w:t>Metric</w:t>
            </w:r>
          </w:p>
        </w:tc>
        <w:tc>
          <w:tcPr>
            <w:tcW w:w="2317" w:type="dxa"/>
            <w:tcBorders>
              <w:top w:val="single" w:sz="4" w:space="0" w:color="auto"/>
              <w:left w:val="single" w:sz="4" w:space="0" w:color="auto"/>
              <w:bottom w:val="single" w:sz="4" w:space="0" w:color="auto"/>
              <w:right w:val="single" w:sz="4" w:space="0" w:color="auto"/>
            </w:tcBorders>
            <w:shd w:val="clear" w:color="auto" w:fill="8EAADB" w:themeFill="accent1" w:themeFillTint="99"/>
            <w:tcMar>
              <w:top w:w="80" w:type="dxa"/>
              <w:left w:w="120" w:type="dxa"/>
              <w:bottom w:w="80" w:type="dxa"/>
              <w:right w:w="120" w:type="dxa"/>
            </w:tcMar>
            <w:hideMark/>
          </w:tcPr>
          <w:p w14:paraId="0254EC5F" w14:textId="77777777" w:rsidR="00360F83" w:rsidRPr="00845672" w:rsidRDefault="00360F83" w:rsidP="00360F83">
            <w:pPr>
              <w:rPr>
                <w:b/>
                <w:bCs/>
                <w:i/>
                <w:iCs/>
                <w:color w:val="002060"/>
                <w:sz w:val="24"/>
                <w:szCs w:val="24"/>
              </w:rPr>
            </w:pPr>
            <w:r w:rsidRPr="00845672">
              <w:rPr>
                <w:b/>
                <w:bCs/>
                <w:i/>
                <w:iCs/>
                <w:color w:val="002060"/>
                <w:sz w:val="24"/>
                <w:szCs w:val="24"/>
              </w:rPr>
              <w:t>Bitcoin (BTC)</w:t>
            </w:r>
          </w:p>
        </w:tc>
        <w:tc>
          <w:tcPr>
            <w:tcW w:w="2317" w:type="dxa"/>
            <w:tcBorders>
              <w:top w:val="single" w:sz="2" w:space="0" w:color="1F4E79"/>
              <w:left w:val="single" w:sz="4" w:space="0" w:color="auto"/>
              <w:bottom w:val="single" w:sz="4" w:space="0" w:color="auto"/>
              <w:right w:val="single" w:sz="2" w:space="0" w:color="1F4E79"/>
            </w:tcBorders>
            <w:shd w:val="clear" w:color="auto" w:fill="8EAADB" w:themeFill="accent1" w:themeFillTint="99"/>
            <w:tcMar>
              <w:top w:w="80" w:type="dxa"/>
              <w:left w:w="120" w:type="dxa"/>
              <w:bottom w:w="80" w:type="dxa"/>
              <w:right w:w="120" w:type="dxa"/>
            </w:tcMar>
            <w:hideMark/>
          </w:tcPr>
          <w:p w14:paraId="0EFCA5FF" w14:textId="77777777" w:rsidR="00360F83" w:rsidRPr="00845672" w:rsidRDefault="00360F83" w:rsidP="00360F83">
            <w:pPr>
              <w:rPr>
                <w:b/>
                <w:bCs/>
                <w:i/>
                <w:iCs/>
                <w:color w:val="002060"/>
                <w:sz w:val="24"/>
                <w:szCs w:val="24"/>
              </w:rPr>
            </w:pPr>
            <w:r w:rsidRPr="00845672">
              <w:rPr>
                <w:b/>
                <w:bCs/>
                <w:i/>
                <w:iCs/>
                <w:color w:val="002060"/>
                <w:sz w:val="24"/>
                <w:szCs w:val="24"/>
              </w:rPr>
              <w:t>Ethereum (ETH)</w:t>
            </w:r>
          </w:p>
        </w:tc>
        <w:tc>
          <w:tcPr>
            <w:tcW w:w="2323" w:type="dxa"/>
            <w:tcBorders>
              <w:top w:val="single" w:sz="2" w:space="0" w:color="1F4E79"/>
              <w:left w:val="nil"/>
              <w:bottom w:val="single" w:sz="4" w:space="0" w:color="auto"/>
              <w:right w:val="single" w:sz="2" w:space="0" w:color="1F4E79"/>
            </w:tcBorders>
            <w:shd w:val="clear" w:color="auto" w:fill="8EAADB" w:themeFill="accent1" w:themeFillTint="99"/>
            <w:tcMar>
              <w:top w:w="80" w:type="dxa"/>
              <w:left w:w="120" w:type="dxa"/>
              <w:bottom w:w="80" w:type="dxa"/>
              <w:right w:w="120" w:type="dxa"/>
            </w:tcMar>
            <w:hideMark/>
          </w:tcPr>
          <w:p w14:paraId="0D78E4EF" w14:textId="77777777" w:rsidR="00360F83" w:rsidRPr="00845672" w:rsidRDefault="00360F83" w:rsidP="00360F83">
            <w:pPr>
              <w:rPr>
                <w:b/>
                <w:bCs/>
                <w:i/>
                <w:iCs/>
                <w:color w:val="002060"/>
                <w:sz w:val="24"/>
                <w:szCs w:val="24"/>
              </w:rPr>
            </w:pPr>
            <w:r w:rsidRPr="00845672">
              <w:rPr>
                <w:b/>
                <w:bCs/>
                <w:i/>
                <w:iCs/>
                <w:color w:val="002060"/>
                <w:sz w:val="24"/>
                <w:szCs w:val="24"/>
              </w:rPr>
              <w:t>Solana (SOL)</w:t>
            </w:r>
          </w:p>
        </w:tc>
      </w:tr>
      <w:tr w:rsidR="00360F83" w:rsidRPr="00845672" w14:paraId="7245DECA" w14:textId="77777777" w:rsidTr="00360F83">
        <w:trPr>
          <w:trHeight w:val="433"/>
        </w:trPr>
        <w:tc>
          <w:tcPr>
            <w:tcW w:w="1926" w:type="dxa"/>
            <w:tcBorders>
              <w:top w:val="single" w:sz="2" w:space="0" w:color="CCCCCC"/>
              <w:left w:val="single" w:sz="2" w:space="0" w:color="CCCCCC"/>
              <w:bottom w:val="single" w:sz="2" w:space="0" w:color="CCCCCC"/>
              <w:right w:val="single" w:sz="4" w:space="0" w:color="auto"/>
            </w:tcBorders>
            <w:shd w:val="clear" w:color="auto" w:fill="FFFFFF"/>
            <w:tcMar>
              <w:top w:w="80" w:type="dxa"/>
              <w:left w:w="120" w:type="dxa"/>
              <w:bottom w:w="80" w:type="dxa"/>
              <w:right w:w="120" w:type="dxa"/>
            </w:tcMar>
            <w:hideMark/>
          </w:tcPr>
          <w:p w14:paraId="209AA79F" w14:textId="77777777" w:rsidR="00360F83" w:rsidRPr="00845672" w:rsidRDefault="00360F83" w:rsidP="00360F83">
            <w:pPr>
              <w:rPr>
                <w:b/>
                <w:bCs/>
                <w:sz w:val="24"/>
                <w:szCs w:val="24"/>
              </w:rPr>
            </w:pPr>
            <w:r w:rsidRPr="00845672">
              <w:rPr>
                <w:b/>
                <w:bCs/>
                <w:sz w:val="24"/>
                <w:szCs w:val="24"/>
              </w:rPr>
              <w:t>Price (May 2025)</w:t>
            </w:r>
          </w:p>
        </w:tc>
        <w:tc>
          <w:tcPr>
            <w:tcW w:w="231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81D323C"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$95,000</w:t>
            </w:r>
          </w:p>
        </w:tc>
        <w:tc>
          <w:tcPr>
            <w:tcW w:w="231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31D1FD5"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$1,800</w:t>
            </w:r>
          </w:p>
        </w:tc>
        <w:tc>
          <w:tcPr>
            <w:tcW w:w="232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F5B07C5"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$148</w:t>
            </w:r>
          </w:p>
        </w:tc>
      </w:tr>
      <w:tr w:rsidR="00360F83" w:rsidRPr="00845672" w14:paraId="56928EE1" w14:textId="77777777" w:rsidTr="00360F83">
        <w:trPr>
          <w:trHeight w:val="433"/>
        </w:trPr>
        <w:tc>
          <w:tcPr>
            <w:tcW w:w="1926" w:type="dxa"/>
            <w:tcBorders>
              <w:top w:val="single" w:sz="2" w:space="0" w:color="CCCCCC"/>
              <w:left w:val="single" w:sz="2" w:space="0" w:color="CCCCCC"/>
              <w:bottom w:val="single" w:sz="2" w:space="0" w:color="CCCCCC"/>
              <w:right w:val="single" w:sz="4" w:space="0" w:color="auto"/>
            </w:tcBorders>
            <w:shd w:val="clear" w:color="auto" w:fill="FFFFFF" w:themeFill="background1"/>
            <w:tcMar>
              <w:top w:w="80" w:type="dxa"/>
              <w:left w:w="120" w:type="dxa"/>
              <w:bottom w:w="80" w:type="dxa"/>
              <w:right w:w="120" w:type="dxa"/>
            </w:tcMar>
            <w:hideMark/>
          </w:tcPr>
          <w:p w14:paraId="7D80DD7F" w14:textId="77777777" w:rsidR="00360F83" w:rsidRPr="00845672" w:rsidRDefault="00360F83" w:rsidP="00360F83">
            <w:pPr>
              <w:rPr>
                <w:b/>
                <w:bCs/>
                <w:sz w:val="24"/>
                <w:szCs w:val="24"/>
              </w:rPr>
            </w:pPr>
            <w:r w:rsidRPr="00845672">
              <w:rPr>
                <w:b/>
                <w:bCs/>
                <w:sz w:val="24"/>
                <w:szCs w:val="24"/>
              </w:rPr>
              <w:t>Price (May 2026)</w:t>
            </w:r>
          </w:p>
        </w:tc>
        <w:tc>
          <w:tcPr>
            <w:tcW w:w="23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53BE438D"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$103,000</w:t>
            </w:r>
          </w:p>
        </w:tc>
        <w:tc>
          <w:tcPr>
            <w:tcW w:w="23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45326026"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$2,400</w:t>
            </w:r>
          </w:p>
        </w:tc>
        <w:tc>
          <w:tcPr>
            <w:tcW w:w="232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89F692C"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$172</w:t>
            </w:r>
          </w:p>
        </w:tc>
      </w:tr>
      <w:tr w:rsidR="00360F83" w:rsidRPr="00845672" w14:paraId="45E6D643" w14:textId="77777777" w:rsidTr="00360F83">
        <w:trPr>
          <w:trHeight w:val="433"/>
        </w:trPr>
        <w:tc>
          <w:tcPr>
            <w:tcW w:w="1926" w:type="dxa"/>
            <w:tcBorders>
              <w:top w:val="single" w:sz="2" w:space="0" w:color="CCCCCC"/>
              <w:left w:val="single" w:sz="2" w:space="0" w:color="CCCCCC"/>
              <w:bottom w:val="single" w:sz="2" w:space="0" w:color="CCCCCC"/>
              <w:right w:val="single" w:sz="4" w:space="0" w:color="auto"/>
            </w:tcBorders>
            <w:shd w:val="clear" w:color="auto" w:fill="FFFFFF"/>
            <w:tcMar>
              <w:top w:w="80" w:type="dxa"/>
              <w:left w:w="120" w:type="dxa"/>
              <w:bottom w:w="80" w:type="dxa"/>
              <w:right w:w="120" w:type="dxa"/>
            </w:tcMar>
            <w:hideMark/>
          </w:tcPr>
          <w:p w14:paraId="4F803C08" w14:textId="77777777" w:rsidR="00360F83" w:rsidRPr="00845672" w:rsidRDefault="00360F83" w:rsidP="00360F83">
            <w:pPr>
              <w:rPr>
                <w:b/>
                <w:bCs/>
                <w:sz w:val="24"/>
                <w:szCs w:val="24"/>
              </w:rPr>
            </w:pPr>
            <w:r w:rsidRPr="00845672">
              <w:rPr>
                <w:b/>
                <w:bCs/>
                <w:sz w:val="24"/>
                <w:szCs w:val="24"/>
              </w:rPr>
              <w:t>12M Return (%)</w:t>
            </w:r>
          </w:p>
        </w:tc>
        <w:tc>
          <w:tcPr>
            <w:tcW w:w="231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58BE723"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8.4%</w:t>
            </w:r>
          </w:p>
        </w:tc>
        <w:tc>
          <w:tcPr>
            <w:tcW w:w="231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32ED03A"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33.3%</w:t>
            </w:r>
          </w:p>
        </w:tc>
        <w:tc>
          <w:tcPr>
            <w:tcW w:w="232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15F728D9"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16.2%</w:t>
            </w:r>
          </w:p>
        </w:tc>
      </w:tr>
      <w:tr w:rsidR="00360F83" w:rsidRPr="00845672" w14:paraId="2AF295BB" w14:textId="77777777" w:rsidTr="00360F83">
        <w:trPr>
          <w:trHeight w:val="442"/>
        </w:trPr>
        <w:tc>
          <w:tcPr>
            <w:tcW w:w="1926" w:type="dxa"/>
            <w:tcBorders>
              <w:top w:val="single" w:sz="2" w:space="0" w:color="CCCCCC"/>
              <w:left w:val="single" w:sz="2" w:space="0" w:color="CCCCCC"/>
              <w:bottom w:val="single" w:sz="2" w:space="0" w:color="CCCCCC"/>
              <w:right w:val="single" w:sz="4" w:space="0" w:color="auto"/>
            </w:tcBorders>
            <w:shd w:val="clear" w:color="auto" w:fill="FFFFFF" w:themeFill="background1"/>
            <w:tcMar>
              <w:top w:w="80" w:type="dxa"/>
              <w:left w:w="120" w:type="dxa"/>
              <w:bottom w:w="80" w:type="dxa"/>
              <w:right w:w="120" w:type="dxa"/>
            </w:tcMar>
            <w:hideMark/>
          </w:tcPr>
          <w:p w14:paraId="43B6A27B" w14:textId="77777777" w:rsidR="00360F83" w:rsidRPr="00845672" w:rsidRDefault="00360F83" w:rsidP="00360F83">
            <w:pPr>
              <w:rPr>
                <w:b/>
                <w:bCs/>
                <w:sz w:val="24"/>
                <w:szCs w:val="24"/>
              </w:rPr>
            </w:pPr>
            <w:r w:rsidRPr="00845672">
              <w:rPr>
                <w:b/>
                <w:bCs/>
                <w:sz w:val="24"/>
                <w:szCs w:val="24"/>
              </w:rPr>
              <w:t>Market Cap</w:t>
            </w:r>
          </w:p>
        </w:tc>
        <w:tc>
          <w:tcPr>
            <w:tcW w:w="23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50840FDD" w14:textId="77777777" w:rsidR="00360F83" w:rsidRPr="00845672" w:rsidRDefault="00360F83" w:rsidP="00360F83">
            <w:pPr>
              <w:rPr>
                <w:rFonts w:cstheme="minorHAnsi"/>
                <w:b/>
                <w:bCs/>
                <w:sz w:val="24"/>
                <w:szCs w:val="24"/>
              </w:rPr>
            </w:pPr>
            <w:r w:rsidRPr="00CE6931">
              <w:rPr>
                <w:rFonts w:cstheme="minorHAnsi"/>
                <w:b/>
                <w:bCs/>
                <w:sz w:val="24"/>
                <w:szCs w:val="24"/>
              </w:rPr>
              <w:t xml:space="preserve"> </w:t>
            </w:r>
            <w:r w:rsidRPr="00845672">
              <w:rPr>
                <w:rFonts w:cstheme="minorHAnsi"/>
                <w:b/>
                <w:bCs/>
                <w:sz w:val="24"/>
                <w:szCs w:val="24"/>
              </w:rPr>
              <w:t>$2.0T</w:t>
            </w:r>
          </w:p>
        </w:tc>
        <w:tc>
          <w:tcPr>
            <w:tcW w:w="23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7561808D"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$290B</w:t>
            </w:r>
          </w:p>
        </w:tc>
        <w:tc>
          <w:tcPr>
            <w:tcW w:w="232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88D974F"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$79B</w:t>
            </w:r>
          </w:p>
        </w:tc>
      </w:tr>
      <w:tr w:rsidR="00360F83" w:rsidRPr="00845672" w14:paraId="16801E0B" w14:textId="77777777" w:rsidTr="00360F83">
        <w:trPr>
          <w:trHeight w:val="433"/>
        </w:trPr>
        <w:tc>
          <w:tcPr>
            <w:tcW w:w="1926" w:type="dxa"/>
            <w:tcBorders>
              <w:top w:val="single" w:sz="2" w:space="0" w:color="CCCCCC"/>
              <w:left w:val="single" w:sz="2" w:space="0" w:color="CCCCCC"/>
              <w:bottom w:val="single" w:sz="2" w:space="0" w:color="CCCCCC"/>
              <w:right w:val="single" w:sz="4" w:space="0" w:color="auto"/>
            </w:tcBorders>
            <w:shd w:val="clear" w:color="auto" w:fill="FFFFFF"/>
            <w:tcMar>
              <w:top w:w="80" w:type="dxa"/>
              <w:left w:w="120" w:type="dxa"/>
              <w:bottom w:w="80" w:type="dxa"/>
              <w:right w:w="120" w:type="dxa"/>
            </w:tcMar>
            <w:hideMark/>
          </w:tcPr>
          <w:p w14:paraId="3766ED38" w14:textId="77777777" w:rsidR="00360F83" w:rsidRPr="00845672" w:rsidRDefault="00360F83" w:rsidP="00360F83">
            <w:pPr>
              <w:rPr>
                <w:b/>
                <w:bCs/>
                <w:sz w:val="24"/>
                <w:szCs w:val="24"/>
              </w:rPr>
            </w:pPr>
            <w:r w:rsidRPr="00845672">
              <w:rPr>
                <w:b/>
                <w:bCs/>
                <w:sz w:val="24"/>
                <w:szCs w:val="24"/>
              </w:rPr>
              <w:t>52-Week High</w:t>
            </w:r>
          </w:p>
        </w:tc>
        <w:tc>
          <w:tcPr>
            <w:tcW w:w="231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2A73F5C"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$109,000</w:t>
            </w:r>
          </w:p>
        </w:tc>
        <w:tc>
          <w:tcPr>
            <w:tcW w:w="2317"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653660DF"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$2,700</w:t>
            </w:r>
          </w:p>
        </w:tc>
        <w:tc>
          <w:tcPr>
            <w:tcW w:w="2323"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22F2A8B"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$210</w:t>
            </w:r>
          </w:p>
        </w:tc>
      </w:tr>
      <w:tr w:rsidR="00360F83" w:rsidRPr="00845672" w14:paraId="610CE0EB" w14:textId="77777777" w:rsidTr="00360F83">
        <w:trPr>
          <w:trHeight w:val="40"/>
        </w:trPr>
        <w:tc>
          <w:tcPr>
            <w:tcW w:w="1926" w:type="dxa"/>
            <w:tcBorders>
              <w:top w:val="single" w:sz="2" w:space="0" w:color="CCCCCC"/>
              <w:left w:val="single" w:sz="2" w:space="0" w:color="CCCCCC"/>
              <w:bottom w:val="single" w:sz="2" w:space="0" w:color="CCCCCC"/>
              <w:right w:val="single" w:sz="4" w:space="0" w:color="auto"/>
            </w:tcBorders>
            <w:shd w:val="clear" w:color="auto" w:fill="FFFFFF" w:themeFill="background1"/>
            <w:tcMar>
              <w:top w:w="80" w:type="dxa"/>
              <w:left w:w="120" w:type="dxa"/>
              <w:bottom w:w="80" w:type="dxa"/>
              <w:right w:w="120" w:type="dxa"/>
            </w:tcMar>
            <w:hideMark/>
          </w:tcPr>
          <w:p w14:paraId="4C0D561A" w14:textId="77777777" w:rsidR="00360F83" w:rsidRPr="00845672" w:rsidRDefault="00360F83" w:rsidP="00360F83">
            <w:pPr>
              <w:rPr>
                <w:b/>
                <w:bCs/>
                <w:sz w:val="24"/>
                <w:szCs w:val="24"/>
              </w:rPr>
            </w:pPr>
            <w:r w:rsidRPr="00845672">
              <w:rPr>
                <w:b/>
                <w:bCs/>
                <w:sz w:val="24"/>
                <w:szCs w:val="24"/>
              </w:rPr>
              <w:t>52-Week Low</w:t>
            </w:r>
          </w:p>
        </w:tc>
        <w:tc>
          <w:tcPr>
            <w:tcW w:w="23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6ACEF93"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$74,500</w:t>
            </w:r>
          </w:p>
        </w:tc>
        <w:tc>
          <w:tcPr>
            <w:tcW w:w="2317"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236FA2DC"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$1,380</w:t>
            </w:r>
          </w:p>
        </w:tc>
        <w:tc>
          <w:tcPr>
            <w:tcW w:w="2323"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0CC79E34" w14:textId="77777777" w:rsidR="00360F83" w:rsidRPr="00845672" w:rsidRDefault="00360F83" w:rsidP="00360F83">
            <w:pPr>
              <w:rPr>
                <w:b/>
                <w:bCs/>
                <w:sz w:val="24"/>
                <w:szCs w:val="24"/>
              </w:rPr>
            </w:pPr>
            <w:r w:rsidRPr="00CE6931">
              <w:rPr>
                <w:b/>
                <w:bCs/>
                <w:sz w:val="24"/>
                <w:szCs w:val="24"/>
              </w:rPr>
              <w:t xml:space="preserve"> </w:t>
            </w:r>
            <w:r w:rsidRPr="00845672">
              <w:rPr>
                <w:b/>
                <w:bCs/>
                <w:sz w:val="24"/>
                <w:szCs w:val="24"/>
              </w:rPr>
              <w:t>$95</w:t>
            </w:r>
          </w:p>
        </w:tc>
      </w:tr>
    </w:tbl>
    <w:p w14:paraId="154F9B15" w14:textId="77777777" w:rsidR="00360F83" w:rsidRDefault="00360F83" w:rsidP="00CE6931">
      <w:pPr>
        <w:rPr>
          <w:b/>
          <w:bCs/>
          <w:i/>
          <w:iCs/>
          <w:color w:val="002060"/>
        </w:rPr>
      </w:pPr>
    </w:p>
    <w:p w14:paraId="1C71B16C" w14:textId="071CCE42" w:rsidR="00360F83" w:rsidRPr="00360F83" w:rsidRDefault="00360F83" w:rsidP="00360F83">
      <w:pPr>
        <w:pStyle w:val="IntenseQuote"/>
        <w:rPr>
          <w:rFonts w:ascii="Bookman Old Style" w:hAnsi="Bookman Old Style"/>
          <w:color w:val="0070C0"/>
          <w:sz w:val="36"/>
          <w:szCs w:val="36"/>
        </w:rPr>
      </w:pPr>
      <w:r w:rsidRPr="00360F83">
        <w:rPr>
          <w:rFonts w:ascii="Bookman Old Style" w:hAnsi="Bookman Old Style"/>
          <w:color w:val="0070C0"/>
          <w:sz w:val="36"/>
          <w:szCs w:val="36"/>
        </w:rPr>
        <w:t>RISK ANALYSIS</w:t>
      </w:r>
    </w:p>
    <w:p w14:paraId="748F98DE" w14:textId="000B2A9E" w:rsidR="00CE6931" w:rsidRDefault="00CE6931" w:rsidP="00CE6931">
      <w:pPr>
        <w:rPr>
          <w:sz w:val="24"/>
          <w:szCs w:val="24"/>
        </w:rPr>
      </w:pPr>
      <w:r w:rsidRPr="00F3252E">
        <w:rPr>
          <w:b/>
          <w:bCs/>
          <w:i/>
          <w:iCs/>
          <w:color w:val="002060"/>
          <w:sz w:val="24"/>
          <w:szCs w:val="24"/>
        </w:rPr>
        <w:t>Risk has been assessed using two primary metrics</w:t>
      </w:r>
      <w:r w:rsidR="00F3252E" w:rsidRPr="00F3252E">
        <w:rPr>
          <w:b/>
          <w:bCs/>
          <w:i/>
          <w:iCs/>
          <w:color w:val="002060"/>
          <w:sz w:val="24"/>
          <w:szCs w:val="24"/>
        </w:rPr>
        <w:t xml:space="preserve"> - </w:t>
      </w:r>
      <w:r w:rsidRPr="00F3252E">
        <w:rPr>
          <w:b/>
          <w:bCs/>
          <w:i/>
          <w:iCs/>
          <w:color w:val="002060"/>
          <w:sz w:val="24"/>
          <w:szCs w:val="24"/>
        </w:rPr>
        <w:t>price volatility, measured through the 52week range spread, and maximum drawdown, which reflects the steepest</w:t>
      </w:r>
      <w:r w:rsidR="00F3252E" w:rsidRPr="00F3252E">
        <w:rPr>
          <w:b/>
          <w:bCs/>
          <w:i/>
          <w:iCs/>
          <w:color w:val="002060"/>
          <w:sz w:val="24"/>
          <w:szCs w:val="24"/>
        </w:rPr>
        <w:t xml:space="preserve"> </w:t>
      </w:r>
      <w:r w:rsidRPr="00F3252E">
        <w:rPr>
          <w:b/>
          <w:bCs/>
          <w:i/>
          <w:iCs/>
          <w:color w:val="002060"/>
          <w:sz w:val="24"/>
          <w:szCs w:val="24"/>
        </w:rPr>
        <w:t>decline recorded during the review period</w:t>
      </w:r>
      <w:r w:rsidRPr="00F3252E">
        <w:rPr>
          <w:sz w:val="24"/>
          <w:szCs w:val="24"/>
        </w:rPr>
        <w:t>.</w:t>
      </w:r>
    </w:p>
    <w:p w14:paraId="3BBB5FD1" w14:textId="77777777" w:rsidR="00F3252E" w:rsidRPr="00F3252E" w:rsidRDefault="00F3252E" w:rsidP="00CE6931">
      <w:pPr>
        <w:rPr>
          <w:sz w:val="24"/>
          <w:szCs w:val="24"/>
        </w:rPr>
      </w:pPr>
    </w:p>
    <w:tbl>
      <w:tblPr>
        <w:tblW w:w="8952"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35"/>
        <w:gridCol w:w="2272"/>
        <w:gridCol w:w="2272"/>
        <w:gridCol w:w="2273"/>
      </w:tblGrid>
      <w:tr w:rsidR="00CE6931" w:rsidRPr="00CE6931" w14:paraId="3A1E7BB6" w14:textId="77777777" w:rsidTr="00F3252E">
        <w:trPr>
          <w:trHeight w:val="442"/>
        </w:trPr>
        <w:tc>
          <w:tcPr>
            <w:tcW w:w="2135" w:type="dxa"/>
            <w:shd w:val="clear" w:color="auto" w:fill="8EAADB" w:themeFill="accent1" w:themeFillTint="99"/>
            <w:tcMar>
              <w:top w:w="80" w:type="dxa"/>
              <w:left w:w="120" w:type="dxa"/>
              <w:bottom w:w="80" w:type="dxa"/>
              <w:right w:w="120" w:type="dxa"/>
            </w:tcMar>
            <w:hideMark/>
          </w:tcPr>
          <w:p w14:paraId="43E87BCD" w14:textId="77777777" w:rsidR="00CE6931" w:rsidRPr="00CE6931" w:rsidRDefault="00CE6931" w:rsidP="00CE6931">
            <w:pPr>
              <w:rPr>
                <w:color w:val="002060"/>
                <w:sz w:val="24"/>
                <w:szCs w:val="24"/>
              </w:rPr>
            </w:pPr>
            <w:r w:rsidRPr="00CE6931">
              <w:rPr>
                <w:b/>
                <w:bCs/>
                <w:color w:val="002060"/>
                <w:sz w:val="24"/>
                <w:szCs w:val="24"/>
              </w:rPr>
              <w:t>Risk Metric</w:t>
            </w:r>
          </w:p>
        </w:tc>
        <w:tc>
          <w:tcPr>
            <w:tcW w:w="2272" w:type="dxa"/>
            <w:shd w:val="clear" w:color="auto" w:fill="8EAADB" w:themeFill="accent1" w:themeFillTint="99"/>
            <w:tcMar>
              <w:top w:w="80" w:type="dxa"/>
              <w:left w:w="120" w:type="dxa"/>
              <w:bottom w:w="80" w:type="dxa"/>
              <w:right w:w="120" w:type="dxa"/>
            </w:tcMar>
            <w:hideMark/>
          </w:tcPr>
          <w:p w14:paraId="48E24AC1" w14:textId="77777777" w:rsidR="00CE6931" w:rsidRPr="00CE6931" w:rsidRDefault="00CE6931" w:rsidP="00CE6931">
            <w:pPr>
              <w:rPr>
                <w:color w:val="002060"/>
                <w:sz w:val="24"/>
                <w:szCs w:val="24"/>
              </w:rPr>
            </w:pPr>
            <w:r w:rsidRPr="00CE6931">
              <w:rPr>
                <w:b/>
                <w:bCs/>
                <w:color w:val="002060"/>
                <w:sz w:val="24"/>
                <w:szCs w:val="24"/>
              </w:rPr>
              <w:t>BTC</w:t>
            </w:r>
          </w:p>
        </w:tc>
        <w:tc>
          <w:tcPr>
            <w:tcW w:w="2272" w:type="dxa"/>
            <w:shd w:val="clear" w:color="auto" w:fill="8EAADB" w:themeFill="accent1" w:themeFillTint="99"/>
            <w:tcMar>
              <w:top w:w="80" w:type="dxa"/>
              <w:left w:w="120" w:type="dxa"/>
              <w:bottom w:w="80" w:type="dxa"/>
              <w:right w:w="120" w:type="dxa"/>
            </w:tcMar>
            <w:hideMark/>
          </w:tcPr>
          <w:p w14:paraId="2C5A9B71" w14:textId="77777777" w:rsidR="00CE6931" w:rsidRPr="00CE6931" w:rsidRDefault="00CE6931" w:rsidP="00CE6931">
            <w:pPr>
              <w:rPr>
                <w:color w:val="002060"/>
                <w:sz w:val="24"/>
                <w:szCs w:val="24"/>
              </w:rPr>
            </w:pPr>
            <w:r w:rsidRPr="00CE6931">
              <w:rPr>
                <w:b/>
                <w:bCs/>
                <w:color w:val="002060"/>
                <w:sz w:val="24"/>
                <w:szCs w:val="24"/>
              </w:rPr>
              <w:t>ETH</w:t>
            </w:r>
          </w:p>
        </w:tc>
        <w:tc>
          <w:tcPr>
            <w:tcW w:w="2273" w:type="dxa"/>
            <w:shd w:val="clear" w:color="auto" w:fill="8EAADB" w:themeFill="accent1" w:themeFillTint="99"/>
            <w:tcMar>
              <w:top w:w="80" w:type="dxa"/>
              <w:left w:w="120" w:type="dxa"/>
              <w:bottom w:w="80" w:type="dxa"/>
              <w:right w:w="120" w:type="dxa"/>
            </w:tcMar>
            <w:hideMark/>
          </w:tcPr>
          <w:p w14:paraId="2B0A02E9" w14:textId="77777777" w:rsidR="00CE6931" w:rsidRPr="00CE6931" w:rsidRDefault="00CE6931" w:rsidP="00CE6931">
            <w:pPr>
              <w:rPr>
                <w:color w:val="002060"/>
                <w:sz w:val="24"/>
                <w:szCs w:val="24"/>
              </w:rPr>
            </w:pPr>
            <w:r w:rsidRPr="00CE6931">
              <w:rPr>
                <w:b/>
                <w:bCs/>
                <w:color w:val="002060"/>
                <w:sz w:val="24"/>
                <w:szCs w:val="24"/>
              </w:rPr>
              <w:t>SOL</w:t>
            </w:r>
          </w:p>
        </w:tc>
      </w:tr>
      <w:tr w:rsidR="00CE6931" w:rsidRPr="00CE6931" w14:paraId="0DFA7244" w14:textId="77777777" w:rsidTr="00F3252E">
        <w:trPr>
          <w:trHeight w:val="696"/>
        </w:trPr>
        <w:tc>
          <w:tcPr>
            <w:tcW w:w="2135" w:type="dxa"/>
            <w:shd w:val="clear" w:color="auto" w:fill="FFFFFF"/>
            <w:tcMar>
              <w:top w:w="80" w:type="dxa"/>
              <w:left w:w="120" w:type="dxa"/>
              <w:bottom w:w="80" w:type="dxa"/>
              <w:right w:w="120" w:type="dxa"/>
            </w:tcMar>
            <w:hideMark/>
          </w:tcPr>
          <w:p w14:paraId="3E7CD181" w14:textId="77777777" w:rsidR="00CE6931" w:rsidRPr="00CE6931" w:rsidRDefault="00CE6931" w:rsidP="00CE6931">
            <w:pPr>
              <w:rPr>
                <w:b/>
                <w:bCs/>
              </w:rPr>
            </w:pPr>
            <w:r w:rsidRPr="00CE6931">
              <w:rPr>
                <w:b/>
                <w:bCs/>
              </w:rPr>
              <w:t>Volatility (52W Range)</w:t>
            </w:r>
          </w:p>
        </w:tc>
        <w:tc>
          <w:tcPr>
            <w:tcW w:w="2272" w:type="dxa"/>
            <w:shd w:val="clear" w:color="auto" w:fill="FFFFFF"/>
            <w:tcMar>
              <w:top w:w="80" w:type="dxa"/>
              <w:left w:w="120" w:type="dxa"/>
              <w:bottom w:w="80" w:type="dxa"/>
              <w:right w:w="120" w:type="dxa"/>
            </w:tcMar>
            <w:hideMark/>
          </w:tcPr>
          <w:p w14:paraId="557E1A47" w14:textId="7E40ACDF" w:rsidR="00CE6931" w:rsidRPr="00CE6931" w:rsidRDefault="00F3252E" w:rsidP="00CE6931">
            <w:pPr>
              <w:rPr>
                <w:b/>
                <w:bCs/>
              </w:rPr>
            </w:pPr>
            <w:r>
              <w:rPr>
                <w:b/>
                <w:bCs/>
              </w:rPr>
              <w:t xml:space="preserve"> </w:t>
            </w:r>
            <w:r w:rsidR="00CE6931" w:rsidRPr="00CE6931">
              <w:rPr>
                <w:b/>
                <w:bCs/>
              </w:rPr>
              <w:t>31%</w:t>
            </w:r>
          </w:p>
        </w:tc>
        <w:tc>
          <w:tcPr>
            <w:tcW w:w="2272" w:type="dxa"/>
            <w:shd w:val="clear" w:color="auto" w:fill="FFFFFF"/>
            <w:tcMar>
              <w:top w:w="80" w:type="dxa"/>
              <w:left w:w="120" w:type="dxa"/>
              <w:bottom w:w="80" w:type="dxa"/>
              <w:right w:w="120" w:type="dxa"/>
            </w:tcMar>
            <w:hideMark/>
          </w:tcPr>
          <w:p w14:paraId="61C2FC85" w14:textId="15DF1F6B" w:rsidR="00CE6931" w:rsidRPr="00CE6931" w:rsidRDefault="00F3252E" w:rsidP="00CE6931">
            <w:pPr>
              <w:rPr>
                <w:b/>
                <w:bCs/>
              </w:rPr>
            </w:pPr>
            <w:r>
              <w:rPr>
                <w:b/>
                <w:bCs/>
              </w:rPr>
              <w:t xml:space="preserve"> </w:t>
            </w:r>
            <w:r w:rsidR="00CE6931" w:rsidRPr="00CE6931">
              <w:rPr>
                <w:b/>
                <w:bCs/>
              </w:rPr>
              <w:t>49%</w:t>
            </w:r>
          </w:p>
        </w:tc>
        <w:tc>
          <w:tcPr>
            <w:tcW w:w="2273" w:type="dxa"/>
            <w:shd w:val="clear" w:color="auto" w:fill="FFFFFF"/>
            <w:tcMar>
              <w:top w:w="80" w:type="dxa"/>
              <w:left w:w="120" w:type="dxa"/>
              <w:bottom w:w="80" w:type="dxa"/>
              <w:right w:w="120" w:type="dxa"/>
            </w:tcMar>
            <w:hideMark/>
          </w:tcPr>
          <w:p w14:paraId="105E5548" w14:textId="419B4395" w:rsidR="00CE6931" w:rsidRPr="00CE6931" w:rsidRDefault="00F3252E" w:rsidP="00CE6931">
            <w:pPr>
              <w:rPr>
                <w:b/>
                <w:bCs/>
              </w:rPr>
            </w:pPr>
            <w:r>
              <w:rPr>
                <w:b/>
                <w:bCs/>
              </w:rPr>
              <w:t xml:space="preserve"> </w:t>
            </w:r>
            <w:r w:rsidR="00CE6931" w:rsidRPr="00CE6931">
              <w:rPr>
                <w:b/>
                <w:bCs/>
              </w:rPr>
              <w:t>54%</w:t>
            </w:r>
          </w:p>
        </w:tc>
      </w:tr>
      <w:tr w:rsidR="00CE6931" w:rsidRPr="00CE6931" w14:paraId="38690278" w14:textId="77777777" w:rsidTr="00F3252E">
        <w:trPr>
          <w:trHeight w:val="414"/>
        </w:trPr>
        <w:tc>
          <w:tcPr>
            <w:tcW w:w="2135" w:type="dxa"/>
            <w:shd w:val="clear" w:color="auto" w:fill="FFFFFF" w:themeFill="background1"/>
            <w:tcMar>
              <w:top w:w="80" w:type="dxa"/>
              <w:left w:w="120" w:type="dxa"/>
              <w:bottom w:w="80" w:type="dxa"/>
              <w:right w:w="120" w:type="dxa"/>
            </w:tcMar>
            <w:hideMark/>
          </w:tcPr>
          <w:p w14:paraId="5BFE5CA3" w14:textId="77777777" w:rsidR="00CE6931" w:rsidRPr="00CE6931" w:rsidRDefault="00CE6931" w:rsidP="00CE6931">
            <w:pPr>
              <w:rPr>
                <w:b/>
                <w:bCs/>
              </w:rPr>
            </w:pPr>
            <w:r w:rsidRPr="00CE6931">
              <w:rPr>
                <w:b/>
                <w:bCs/>
              </w:rPr>
              <w:t>Max Drawdown</w:t>
            </w:r>
          </w:p>
        </w:tc>
        <w:tc>
          <w:tcPr>
            <w:tcW w:w="2272" w:type="dxa"/>
            <w:shd w:val="clear" w:color="auto" w:fill="FFFFFF" w:themeFill="background1"/>
            <w:tcMar>
              <w:top w:w="80" w:type="dxa"/>
              <w:left w:w="120" w:type="dxa"/>
              <w:bottom w:w="80" w:type="dxa"/>
              <w:right w:w="120" w:type="dxa"/>
            </w:tcMar>
            <w:hideMark/>
          </w:tcPr>
          <w:p w14:paraId="4834D36C" w14:textId="3E70D76B" w:rsidR="00CE6931" w:rsidRPr="00CE6931" w:rsidRDefault="00F3252E" w:rsidP="00CE6931">
            <w:pPr>
              <w:rPr>
                <w:b/>
                <w:bCs/>
              </w:rPr>
            </w:pPr>
            <w:r>
              <w:rPr>
                <w:b/>
                <w:bCs/>
              </w:rPr>
              <w:t xml:space="preserve"> </w:t>
            </w:r>
            <w:r w:rsidR="00CE6931" w:rsidRPr="00CE6931">
              <w:rPr>
                <w:b/>
                <w:bCs/>
              </w:rPr>
              <w:t>-23%</w:t>
            </w:r>
          </w:p>
        </w:tc>
        <w:tc>
          <w:tcPr>
            <w:tcW w:w="2272" w:type="dxa"/>
            <w:shd w:val="clear" w:color="auto" w:fill="FFFFFF" w:themeFill="background1"/>
            <w:tcMar>
              <w:top w:w="80" w:type="dxa"/>
              <w:left w:w="120" w:type="dxa"/>
              <w:bottom w:w="80" w:type="dxa"/>
              <w:right w:w="120" w:type="dxa"/>
            </w:tcMar>
            <w:hideMark/>
          </w:tcPr>
          <w:p w14:paraId="2D9FB9E4" w14:textId="4B0C157A" w:rsidR="00CE6931" w:rsidRPr="00CE6931" w:rsidRDefault="00F3252E" w:rsidP="00CE6931">
            <w:pPr>
              <w:rPr>
                <w:b/>
                <w:bCs/>
              </w:rPr>
            </w:pPr>
            <w:r>
              <w:rPr>
                <w:b/>
                <w:bCs/>
              </w:rPr>
              <w:t xml:space="preserve"> </w:t>
            </w:r>
            <w:r w:rsidR="00CE6931" w:rsidRPr="00CE6931">
              <w:rPr>
                <w:b/>
                <w:bCs/>
              </w:rPr>
              <w:t>-35%</w:t>
            </w:r>
          </w:p>
        </w:tc>
        <w:tc>
          <w:tcPr>
            <w:tcW w:w="2273" w:type="dxa"/>
            <w:shd w:val="clear" w:color="auto" w:fill="FFFFFF" w:themeFill="background1"/>
            <w:tcMar>
              <w:top w:w="80" w:type="dxa"/>
              <w:left w:w="120" w:type="dxa"/>
              <w:bottom w:w="80" w:type="dxa"/>
              <w:right w:w="120" w:type="dxa"/>
            </w:tcMar>
            <w:hideMark/>
          </w:tcPr>
          <w:p w14:paraId="63AB29A1" w14:textId="4D6DEDA4" w:rsidR="00CE6931" w:rsidRPr="00CE6931" w:rsidRDefault="00F3252E" w:rsidP="00CE6931">
            <w:pPr>
              <w:rPr>
                <w:b/>
                <w:bCs/>
              </w:rPr>
            </w:pPr>
            <w:r>
              <w:rPr>
                <w:b/>
                <w:bCs/>
              </w:rPr>
              <w:t xml:space="preserve"> </w:t>
            </w:r>
            <w:r w:rsidR="00CE6931" w:rsidRPr="00CE6931">
              <w:rPr>
                <w:b/>
                <w:bCs/>
              </w:rPr>
              <w:t>-41%</w:t>
            </w:r>
          </w:p>
        </w:tc>
      </w:tr>
      <w:tr w:rsidR="00CE6931" w:rsidRPr="00CE6931" w14:paraId="5CE4F8E4" w14:textId="77777777" w:rsidTr="00F3252E">
        <w:trPr>
          <w:trHeight w:val="423"/>
        </w:trPr>
        <w:tc>
          <w:tcPr>
            <w:tcW w:w="2135" w:type="dxa"/>
            <w:shd w:val="clear" w:color="auto" w:fill="FFFFFF"/>
            <w:tcMar>
              <w:top w:w="80" w:type="dxa"/>
              <w:left w:w="120" w:type="dxa"/>
              <w:bottom w:w="80" w:type="dxa"/>
              <w:right w:w="120" w:type="dxa"/>
            </w:tcMar>
            <w:hideMark/>
          </w:tcPr>
          <w:p w14:paraId="2F908E89" w14:textId="77777777" w:rsidR="00CE6931" w:rsidRPr="00CE6931" w:rsidRDefault="00CE6931" w:rsidP="00CE6931">
            <w:pPr>
              <w:rPr>
                <w:b/>
                <w:bCs/>
              </w:rPr>
            </w:pPr>
            <w:r w:rsidRPr="00CE6931">
              <w:rPr>
                <w:b/>
                <w:bCs/>
              </w:rPr>
              <w:t>Risk Level</w:t>
            </w:r>
          </w:p>
        </w:tc>
        <w:tc>
          <w:tcPr>
            <w:tcW w:w="2272" w:type="dxa"/>
            <w:shd w:val="clear" w:color="auto" w:fill="FFFFFF"/>
            <w:tcMar>
              <w:top w:w="80" w:type="dxa"/>
              <w:left w:w="120" w:type="dxa"/>
              <w:bottom w:w="80" w:type="dxa"/>
              <w:right w:w="120" w:type="dxa"/>
            </w:tcMar>
            <w:hideMark/>
          </w:tcPr>
          <w:p w14:paraId="57B8E88C" w14:textId="77777777" w:rsidR="00CE6931" w:rsidRPr="00CE6931" w:rsidRDefault="00CE6931" w:rsidP="00CE6931">
            <w:pPr>
              <w:rPr>
                <w:b/>
                <w:bCs/>
              </w:rPr>
            </w:pPr>
            <w:r w:rsidRPr="00CE6931">
              <w:rPr>
                <w:b/>
                <w:bCs/>
              </w:rPr>
              <w:t>High</w:t>
            </w:r>
          </w:p>
        </w:tc>
        <w:tc>
          <w:tcPr>
            <w:tcW w:w="2272" w:type="dxa"/>
            <w:shd w:val="clear" w:color="auto" w:fill="FFFFFF"/>
            <w:tcMar>
              <w:top w:w="80" w:type="dxa"/>
              <w:left w:w="120" w:type="dxa"/>
              <w:bottom w:w="80" w:type="dxa"/>
              <w:right w:w="120" w:type="dxa"/>
            </w:tcMar>
            <w:hideMark/>
          </w:tcPr>
          <w:p w14:paraId="6BBE2756" w14:textId="77777777" w:rsidR="00CE6931" w:rsidRPr="00CE6931" w:rsidRDefault="00CE6931" w:rsidP="00CE6931">
            <w:pPr>
              <w:rPr>
                <w:b/>
                <w:bCs/>
              </w:rPr>
            </w:pPr>
            <w:r w:rsidRPr="00CE6931">
              <w:rPr>
                <w:b/>
                <w:bCs/>
              </w:rPr>
              <w:t>High</w:t>
            </w:r>
          </w:p>
        </w:tc>
        <w:tc>
          <w:tcPr>
            <w:tcW w:w="2273" w:type="dxa"/>
            <w:shd w:val="clear" w:color="auto" w:fill="FFFFFF"/>
            <w:tcMar>
              <w:top w:w="80" w:type="dxa"/>
              <w:left w:w="120" w:type="dxa"/>
              <w:bottom w:w="80" w:type="dxa"/>
              <w:right w:w="120" w:type="dxa"/>
            </w:tcMar>
            <w:hideMark/>
          </w:tcPr>
          <w:p w14:paraId="78F7FE55" w14:textId="77777777" w:rsidR="00CE6931" w:rsidRPr="00CE6931" w:rsidRDefault="00CE6931" w:rsidP="00CE6931">
            <w:pPr>
              <w:rPr>
                <w:b/>
                <w:bCs/>
              </w:rPr>
            </w:pPr>
            <w:r w:rsidRPr="00CE6931">
              <w:rPr>
                <w:b/>
                <w:bCs/>
              </w:rPr>
              <w:t>Very High</w:t>
            </w:r>
          </w:p>
        </w:tc>
      </w:tr>
      <w:tr w:rsidR="00CE6931" w:rsidRPr="00CE6931" w14:paraId="0939676A" w14:textId="77777777" w:rsidTr="00F3252E">
        <w:trPr>
          <w:trHeight w:val="414"/>
        </w:trPr>
        <w:tc>
          <w:tcPr>
            <w:tcW w:w="2135" w:type="dxa"/>
            <w:shd w:val="clear" w:color="auto" w:fill="FFFFFF" w:themeFill="background1"/>
            <w:tcMar>
              <w:top w:w="80" w:type="dxa"/>
              <w:left w:w="120" w:type="dxa"/>
              <w:bottom w:w="80" w:type="dxa"/>
              <w:right w:w="120" w:type="dxa"/>
            </w:tcMar>
            <w:hideMark/>
          </w:tcPr>
          <w:p w14:paraId="572D1FF7" w14:textId="77777777" w:rsidR="00CE6931" w:rsidRPr="00CE6931" w:rsidRDefault="00CE6931" w:rsidP="00CE6931">
            <w:pPr>
              <w:rPr>
                <w:b/>
                <w:bCs/>
              </w:rPr>
            </w:pPr>
            <w:r w:rsidRPr="00CE6931">
              <w:rPr>
                <w:b/>
                <w:bCs/>
              </w:rPr>
              <w:t>Return/Risk Ratio</w:t>
            </w:r>
          </w:p>
        </w:tc>
        <w:tc>
          <w:tcPr>
            <w:tcW w:w="2272" w:type="dxa"/>
            <w:shd w:val="clear" w:color="auto" w:fill="FFFFFF" w:themeFill="background1"/>
            <w:tcMar>
              <w:top w:w="80" w:type="dxa"/>
              <w:left w:w="120" w:type="dxa"/>
              <w:bottom w:w="80" w:type="dxa"/>
              <w:right w:w="120" w:type="dxa"/>
            </w:tcMar>
            <w:hideMark/>
          </w:tcPr>
          <w:p w14:paraId="79301819" w14:textId="77777777" w:rsidR="00CE6931" w:rsidRPr="00CE6931" w:rsidRDefault="00CE6931" w:rsidP="00CE6931">
            <w:pPr>
              <w:rPr>
                <w:b/>
                <w:bCs/>
              </w:rPr>
            </w:pPr>
            <w:r w:rsidRPr="00CE6931">
              <w:rPr>
                <w:b/>
                <w:bCs/>
              </w:rPr>
              <w:t>Low</w:t>
            </w:r>
          </w:p>
        </w:tc>
        <w:tc>
          <w:tcPr>
            <w:tcW w:w="2272" w:type="dxa"/>
            <w:shd w:val="clear" w:color="auto" w:fill="FFFFFF" w:themeFill="background1"/>
            <w:tcMar>
              <w:top w:w="80" w:type="dxa"/>
              <w:left w:w="120" w:type="dxa"/>
              <w:bottom w:w="80" w:type="dxa"/>
              <w:right w:w="120" w:type="dxa"/>
            </w:tcMar>
            <w:hideMark/>
          </w:tcPr>
          <w:p w14:paraId="45198153" w14:textId="77777777" w:rsidR="00CE6931" w:rsidRPr="00CE6931" w:rsidRDefault="00CE6931" w:rsidP="00CE6931">
            <w:pPr>
              <w:rPr>
                <w:b/>
                <w:bCs/>
              </w:rPr>
            </w:pPr>
            <w:r w:rsidRPr="00CE6931">
              <w:rPr>
                <w:b/>
                <w:bCs/>
              </w:rPr>
              <w:t>Moderate</w:t>
            </w:r>
          </w:p>
        </w:tc>
        <w:tc>
          <w:tcPr>
            <w:tcW w:w="2273" w:type="dxa"/>
            <w:shd w:val="clear" w:color="auto" w:fill="FFFFFF" w:themeFill="background1"/>
            <w:tcMar>
              <w:top w:w="80" w:type="dxa"/>
              <w:left w:w="120" w:type="dxa"/>
              <w:bottom w:w="80" w:type="dxa"/>
              <w:right w:w="120" w:type="dxa"/>
            </w:tcMar>
            <w:hideMark/>
          </w:tcPr>
          <w:p w14:paraId="7E832BEF" w14:textId="77777777" w:rsidR="00CE6931" w:rsidRPr="00CE6931" w:rsidRDefault="00CE6931" w:rsidP="00CE6931">
            <w:pPr>
              <w:rPr>
                <w:b/>
                <w:bCs/>
              </w:rPr>
            </w:pPr>
            <w:r w:rsidRPr="00CE6931">
              <w:rPr>
                <w:b/>
                <w:bCs/>
              </w:rPr>
              <w:t>Moderate</w:t>
            </w:r>
          </w:p>
        </w:tc>
      </w:tr>
    </w:tbl>
    <w:p w14:paraId="69933E41" w14:textId="77777777" w:rsidR="00CE6931" w:rsidRDefault="00CE6931" w:rsidP="00CE6931">
      <w:r>
        <w:t xml:space="preserve"> </w:t>
      </w:r>
    </w:p>
    <w:p w14:paraId="17080339" w14:textId="73A95CE4" w:rsidR="00CE6931" w:rsidRPr="00F3252E" w:rsidRDefault="00CE6931" w:rsidP="00CE6931">
      <w:pPr>
        <w:rPr>
          <w:b/>
          <w:bCs/>
          <w:i/>
          <w:iCs/>
          <w:sz w:val="24"/>
          <w:szCs w:val="24"/>
        </w:rPr>
      </w:pPr>
      <w:r w:rsidRPr="00F3252E">
        <w:rPr>
          <w:b/>
          <w:bCs/>
          <w:i/>
          <w:iCs/>
          <w:color w:val="002060"/>
          <w:sz w:val="24"/>
          <w:szCs w:val="24"/>
        </w:rPr>
        <w:t>Of the three assets, Bitcoin exhibited the lowest volatility, positioning it as the relatively more stable investment option. Ethereum presented a more balanced risk-return profile, making it a compelling choice for investors seeking growth without excessive exposure. Solana, despite delivering reasonable gains, recorded the highest volatility and the most severe drawdowns across the period characteristics that may not align well with the objectives of risk-averse investors</w:t>
      </w:r>
      <w:r w:rsidRPr="00F3252E">
        <w:rPr>
          <w:b/>
          <w:bCs/>
          <w:i/>
          <w:iCs/>
          <w:sz w:val="24"/>
          <w:szCs w:val="24"/>
        </w:rPr>
        <w:t>.</w:t>
      </w:r>
    </w:p>
    <w:p w14:paraId="532FC234" w14:textId="5A8537FE" w:rsidR="00360F83" w:rsidRPr="00360F83" w:rsidRDefault="00360F83" w:rsidP="00360F83">
      <w:pPr>
        <w:rPr>
          <w:b/>
          <w:bCs/>
          <w:i/>
          <w:iCs/>
        </w:rPr>
      </w:pPr>
    </w:p>
    <w:p w14:paraId="342D52EF" w14:textId="79C7679E" w:rsidR="00CE6931" w:rsidRPr="00360F83" w:rsidRDefault="00CE6931" w:rsidP="00360F83">
      <w:pPr>
        <w:pStyle w:val="IntenseQuote"/>
        <w:ind w:left="0"/>
        <w:rPr>
          <w:rFonts w:ascii="Bookman Old Style" w:hAnsi="Bookman Old Style"/>
          <w:color w:val="0070C0"/>
          <w:sz w:val="32"/>
          <w:szCs w:val="32"/>
        </w:rPr>
      </w:pPr>
      <w:r w:rsidRPr="00360F83">
        <w:rPr>
          <w:rFonts w:ascii="Bookman Old Style" w:hAnsi="Bookman Old Style"/>
          <w:color w:val="0070C0"/>
          <w:sz w:val="32"/>
          <w:szCs w:val="32"/>
        </w:rPr>
        <w:t>INVESTMENT RECOMMENDATIONS</w:t>
      </w:r>
    </w:p>
    <w:p w14:paraId="6C76FD17" w14:textId="77777777" w:rsidR="00360F83" w:rsidRPr="00360F83" w:rsidRDefault="00360F83" w:rsidP="00360F83">
      <w:pPr>
        <w:rPr>
          <w:b/>
          <w:bCs/>
          <w:i/>
          <w:iCs/>
          <w:color w:val="002060"/>
          <w:sz w:val="24"/>
          <w:szCs w:val="24"/>
        </w:rPr>
      </w:pPr>
      <w:r w:rsidRPr="00360F83">
        <w:rPr>
          <w:b/>
          <w:bCs/>
          <w:i/>
          <w:iCs/>
          <w:color w:val="002060"/>
          <w:sz w:val="24"/>
          <w:szCs w:val="24"/>
        </w:rPr>
        <w:t>Based on the performance and risk analysis above, here are my recommendations:</w:t>
      </w:r>
    </w:p>
    <w:p w14:paraId="644E712E" w14:textId="77777777" w:rsidR="00360F83" w:rsidRDefault="00360F83" w:rsidP="00CE6931"/>
    <w:tbl>
      <w:tblPr>
        <w:tblW w:w="9224" w:type="dxa"/>
        <w:tblInd w:w="-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812"/>
        <w:gridCol w:w="2412"/>
      </w:tblGrid>
      <w:tr w:rsidR="00360F83" w:rsidRPr="00360F83" w14:paraId="6C7FD2CB" w14:textId="77777777" w:rsidTr="00F3252E">
        <w:tc>
          <w:tcPr>
            <w:tcW w:w="2000" w:type="dxa"/>
            <w:tcBorders>
              <w:top w:val="single" w:sz="2" w:space="0" w:color="1F4E79"/>
              <w:left w:val="single" w:sz="2" w:space="0" w:color="1F4E79"/>
              <w:bottom w:val="single" w:sz="4" w:space="0" w:color="auto"/>
              <w:right w:val="single" w:sz="2" w:space="0" w:color="1F4E79"/>
            </w:tcBorders>
            <w:shd w:val="clear" w:color="auto" w:fill="8EAADB" w:themeFill="accent1" w:themeFillTint="99"/>
            <w:tcMar>
              <w:top w:w="80" w:type="dxa"/>
              <w:left w:w="120" w:type="dxa"/>
              <w:bottom w:w="80" w:type="dxa"/>
              <w:right w:w="120" w:type="dxa"/>
            </w:tcMar>
            <w:hideMark/>
          </w:tcPr>
          <w:p w14:paraId="43CB873B" w14:textId="77777777" w:rsidR="00360F83" w:rsidRPr="00360F83" w:rsidRDefault="00360F83" w:rsidP="00360F83">
            <w:pPr>
              <w:rPr>
                <w:color w:val="002060"/>
              </w:rPr>
            </w:pPr>
            <w:r w:rsidRPr="00360F83">
              <w:rPr>
                <w:b/>
                <w:bCs/>
                <w:color w:val="002060"/>
              </w:rPr>
              <w:t>Investor Type</w:t>
            </w:r>
          </w:p>
        </w:tc>
        <w:tc>
          <w:tcPr>
            <w:tcW w:w="2000" w:type="dxa"/>
            <w:tcBorders>
              <w:top w:val="single" w:sz="2" w:space="0" w:color="1F4E79"/>
              <w:left w:val="nil"/>
              <w:bottom w:val="single" w:sz="4" w:space="0" w:color="auto"/>
              <w:right w:val="single" w:sz="2" w:space="0" w:color="1F4E79"/>
            </w:tcBorders>
            <w:shd w:val="clear" w:color="auto" w:fill="8EAADB" w:themeFill="accent1" w:themeFillTint="99"/>
            <w:tcMar>
              <w:top w:w="80" w:type="dxa"/>
              <w:left w:w="120" w:type="dxa"/>
              <w:bottom w:w="80" w:type="dxa"/>
              <w:right w:w="120" w:type="dxa"/>
            </w:tcMar>
            <w:hideMark/>
          </w:tcPr>
          <w:p w14:paraId="720FB00F" w14:textId="77777777" w:rsidR="00360F83" w:rsidRPr="00360F83" w:rsidRDefault="00360F83" w:rsidP="00360F83">
            <w:pPr>
              <w:rPr>
                <w:color w:val="002060"/>
              </w:rPr>
            </w:pPr>
            <w:r w:rsidRPr="00360F83">
              <w:rPr>
                <w:b/>
                <w:bCs/>
                <w:color w:val="002060"/>
              </w:rPr>
              <w:t>Recommended Asset</w:t>
            </w:r>
          </w:p>
        </w:tc>
        <w:tc>
          <w:tcPr>
            <w:tcW w:w="2812" w:type="dxa"/>
            <w:tcBorders>
              <w:top w:val="single" w:sz="2" w:space="0" w:color="1F4E79"/>
              <w:left w:val="nil"/>
              <w:bottom w:val="single" w:sz="4" w:space="0" w:color="auto"/>
              <w:right w:val="single" w:sz="2" w:space="0" w:color="1F4E79"/>
            </w:tcBorders>
            <w:shd w:val="clear" w:color="auto" w:fill="8EAADB" w:themeFill="accent1" w:themeFillTint="99"/>
            <w:tcMar>
              <w:top w:w="80" w:type="dxa"/>
              <w:left w:w="120" w:type="dxa"/>
              <w:bottom w:w="80" w:type="dxa"/>
              <w:right w:w="120" w:type="dxa"/>
            </w:tcMar>
            <w:hideMark/>
          </w:tcPr>
          <w:p w14:paraId="5EE21E91" w14:textId="77777777" w:rsidR="00360F83" w:rsidRPr="00360F83" w:rsidRDefault="00360F83" w:rsidP="00360F83">
            <w:pPr>
              <w:rPr>
                <w:color w:val="002060"/>
              </w:rPr>
            </w:pPr>
            <w:r w:rsidRPr="00360F83">
              <w:rPr>
                <w:b/>
                <w:bCs/>
                <w:color w:val="002060"/>
              </w:rPr>
              <w:t>Allocation Suggestion</w:t>
            </w:r>
          </w:p>
        </w:tc>
        <w:tc>
          <w:tcPr>
            <w:tcW w:w="2412" w:type="dxa"/>
            <w:tcBorders>
              <w:top w:val="single" w:sz="2" w:space="0" w:color="1F4E79"/>
              <w:left w:val="nil"/>
              <w:bottom w:val="single" w:sz="4" w:space="0" w:color="auto"/>
              <w:right w:val="single" w:sz="2" w:space="0" w:color="1F4E79"/>
            </w:tcBorders>
            <w:shd w:val="clear" w:color="auto" w:fill="8EAADB" w:themeFill="accent1" w:themeFillTint="99"/>
            <w:tcMar>
              <w:top w:w="80" w:type="dxa"/>
              <w:left w:w="120" w:type="dxa"/>
              <w:bottom w:w="80" w:type="dxa"/>
              <w:right w:w="120" w:type="dxa"/>
            </w:tcMar>
            <w:hideMark/>
          </w:tcPr>
          <w:p w14:paraId="23BB88E7" w14:textId="77777777" w:rsidR="00360F83" w:rsidRPr="00360F83" w:rsidRDefault="00360F83" w:rsidP="00360F83">
            <w:pPr>
              <w:rPr>
                <w:color w:val="002060"/>
              </w:rPr>
            </w:pPr>
            <w:r w:rsidRPr="00360F83">
              <w:rPr>
                <w:b/>
                <w:bCs/>
                <w:color w:val="002060"/>
              </w:rPr>
              <w:t>Rationale</w:t>
            </w:r>
          </w:p>
        </w:tc>
      </w:tr>
      <w:tr w:rsidR="00360F83" w:rsidRPr="00360F83" w14:paraId="146416E3" w14:textId="77777777" w:rsidTr="00F3252E">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7EC69D85" w14:textId="77777777" w:rsidR="00360F83" w:rsidRPr="00360F83" w:rsidRDefault="00360F83" w:rsidP="00360F83">
            <w:pPr>
              <w:rPr>
                <w:b/>
                <w:bCs/>
              </w:rPr>
            </w:pPr>
            <w:r w:rsidRPr="00360F83">
              <w:rPr>
                <w:b/>
                <w:bCs/>
              </w:rPr>
              <w:t>Conservative</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2495E730" w14:textId="77777777" w:rsidR="00360F83" w:rsidRPr="00360F83" w:rsidRDefault="00360F83" w:rsidP="00360F83">
            <w:pPr>
              <w:rPr>
                <w:b/>
                <w:bCs/>
              </w:rPr>
            </w:pPr>
            <w:r w:rsidRPr="00360F83">
              <w:rPr>
                <w:b/>
                <w:bCs/>
              </w:rPr>
              <w:t>BTC</w:t>
            </w:r>
          </w:p>
        </w:tc>
        <w:tc>
          <w:tcPr>
            <w:tcW w:w="281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25D2D742" w14:textId="77777777" w:rsidR="00360F83" w:rsidRPr="00360F83" w:rsidRDefault="00360F83" w:rsidP="00360F83">
            <w:pPr>
              <w:rPr>
                <w:b/>
                <w:bCs/>
              </w:rPr>
            </w:pPr>
            <w:r w:rsidRPr="00360F83">
              <w:rPr>
                <w:b/>
                <w:bCs/>
              </w:rPr>
              <w:t>70% BTC, 30% ETH</w:t>
            </w:r>
          </w:p>
        </w:tc>
        <w:tc>
          <w:tcPr>
            <w:tcW w:w="241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2498C902" w14:textId="77777777" w:rsidR="00360F83" w:rsidRPr="00360F83" w:rsidRDefault="00360F83" w:rsidP="00360F83">
            <w:pPr>
              <w:rPr>
                <w:b/>
                <w:bCs/>
              </w:rPr>
            </w:pPr>
            <w:r w:rsidRPr="00360F83">
              <w:rPr>
                <w:b/>
                <w:bCs/>
              </w:rPr>
              <w:t>Lower risk, stable store of value</w:t>
            </w:r>
          </w:p>
        </w:tc>
      </w:tr>
      <w:tr w:rsidR="00360F83" w:rsidRPr="00360F83" w14:paraId="2D64A411" w14:textId="77777777" w:rsidTr="00F3252E">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5ECECF0A" w14:textId="77777777" w:rsidR="00360F83" w:rsidRPr="00360F83" w:rsidRDefault="00360F83" w:rsidP="00360F83">
            <w:pPr>
              <w:rPr>
                <w:b/>
                <w:bCs/>
              </w:rPr>
            </w:pPr>
            <w:r w:rsidRPr="00360F83">
              <w:rPr>
                <w:b/>
                <w:bCs/>
              </w:rPr>
              <w:t>Moderate</w:t>
            </w:r>
          </w:p>
        </w:tc>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3EE9A4E6" w14:textId="77777777" w:rsidR="00360F83" w:rsidRPr="00360F83" w:rsidRDefault="00360F83" w:rsidP="00360F83">
            <w:pPr>
              <w:rPr>
                <w:b/>
                <w:bCs/>
              </w:rPr>
            </w:pPr>
            <w:r w:rsidRPr="00360F83">
              <w:rPr>
                <w:b/>
                <w:bCs/>
              </w:rPr>
              <w:t>BTC + ETH</w:t>
            </w:r>
          </w:p>
        </w:tc>
        <w:tc>
          <w:tcPr>
            <w:tcW w:w="281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2467E578" w14:textId="77777777" w:rsidR="00360F83" w:rsidRPr="00360F83" w:rsidRDefault="00360F83" w:rsidP="00360F83">
            <w:pPr>
              <w:rPr>
                <w:b/>
                <w:bCs/>
              </w:rPr>
            </w:pPr>
            <w:r w:rsidRPr="00360F83">
              <w:rPr>
                <w:b/>
                <w:bCs/>
              </w:rPr>
              <w:t>50% BTC, 40% ETH, 10% SOL</w:t>
            </w:r>
          </w:p>
        </w:tc>
        <w:tc>
          <w:tcPr>
            <w:tcW w:w="2412" w:type="dxa"/>
            <w:tcBorders>
              <w:top w:val="single" w:sz="4" w:space="0" w:color="auto"/>
              <w:left w:val="single" w:sz="4" w:space="0" w:color="auto"/>
              <w:bottom w:val="single" w:sz="4" w:space="0" w:color="auto"/>
              <w:right w:val="single" w:sz="4" w:space="0" w:color="auto"/>
            </w:tcBorders>
            <w:shd w:val="clear" w:color="auto" w:fill="FFFFFF" w:themeFill="background1"/>
            <w:tcMar>
              <w:top w:w="80" w:type="dxa"/>
              <w:left w:w="120" w:type="dxa"/>
              <w:bottom w:w="80" w:type="dxa"/>
              <w:right w:w="120" w:type="dxa"/>
            </w:tcMar>
            <w:hideMark/>
          </w:tcPr>
          <w:p w14:paraId="40DB053C" w14:textId="77777777" w:rsidR="00360F83" w:rsidRPr="00360F83" w:rsidRDefault="00360F83" w:rsidP="00360F83">
            <w:pPr>
              <w:rPr>
                <w:b/>
                <w:bCs/>
              </w:rPr>
            </w:pPr>
            <w:r w:rsidRPr="00360F83">
              <w:rPr>
                <w:b/>
                <w:bCs/>
              </w:rPr>
              <w:t>Balanced growth and risk</w:t>
            </w:r>
          </w:p>
        </w:tc>
      </w:tr>
      <w:tr w:rsidR="00360F83" w:rsidRPr="00360F83" w14:paraId="10CFD69E" w14:textId="77777777" w:rsidTr="00F3252E">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8F6EEC7" w14:textId="77777777" w:rsidR="00360F83" w:rsidRPr="00360F83" w:rsidRDefault="00360F83" w:rsidP="00360F83">
            <w:pPr>
              <w:rPr>
                <w:b/>
                <w:bCs/>
              </w:rPr>
            </w:pPr>
            <w:r w:rsidRPr="00360F83">
              <w:rPr>
                <w:b/>
                <w:bCs/>
              </w:rPr>
              <w:t>Aggressive</w:t>
            </w:r>
          </w:p>
        </w:tc>
        <w:tc>
          <w:tcPr>
            <w:tcW w:w="2000"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04331087" w14:textId="77777777" w:rsidR="00360F83" w:rsidRPr="00360F83" w:rsidRDefault="00360F83" w:rsidP="00360F83">
            <w:pPr>
              <w:rPr>
                <w:b/>
                <w:bCs/>
              </w:rPr>
            </w:pPr>
            <w:r w:rsidRPr="00360F83">
              <w:rPr>
                <w:b/>
                <w:bCs/>
              </w:rPr>
              <w:t>ETH + SOL</w:t>
            </w:r>
          </w:p>
        </w:tc>
        <w:tc>
          <w:tcPr>
            <w:tcW w:w="281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360DC26A" w14:textId="77777777" w:rsidR="00360F83" w:rsidRPr="00360F83" w:rsidRDefault="00360F83" w:rsidP="00360F83">
            <w:pPr>
              <w:rPr>
                <w:b/>
                <w:bCs/>
              </w:rPr>
            </w:pPr>
            <w:r w:rsidRPr="00360F83">
              <w:rPr>
                <w:b/>
                <w:bCs/>
              </w:rPr>
              <w:t>30% BTC, 40% ETH, 30% SOL</w:t>
            </w:r>
          </w:p>
        </w:tc>
        <w:tc>
          <w:tcPr>
            <w:tcW w:w="2412" w:type="dxa"/>
            <w:tcBorders>
              <w:top w:val="single" w:sz="4" w:space="0" w:color="auto"/>
              <w:left w:val="single" w:sz="4" w:space="0" w:color="auto"/>
              <w:bottom w:val="single" w:sz="4" w:space="0" w:color="auto"/>
              <w:right w:val="single" w:sz="4" w:space="0" w:color="auto"/>
            </w:tcBorders>
            <w:shd w:val="clear" w:color="auto" w:fill="FFFFFF"/>
            <w:tcMar>
              <w:top w:w="80" w:type="dxa"/>
              <w:left w:w="120" w:type="dxa"/>
              <w:bottom w:w="80" w:type="dxa"/>
              <w:right w:w="120" w:type="dxa"/>
            </w:tcMar>
            <w:hideMark/>
          </w:tcPr>
          <w:p w14:paraId="48E83F43" w14:textId="77777777" w:rsidR="00360F83" w:rsidRPr="00360F83" w:rsidRDefault="00360F83" w:rsidP="00360F83">
            <w:pPr>
              <w:rPr>
                <w:b/>
                <w:bCs/>
              </w:rPr>
            </w:pPr>
            <w:r w:rsidRPr="00360F83">
              <w:rPr>
                <w:b/>
                <w:bCs/>
              </w:rPr>
              <w:t>High growth potential</w:t>
            </w:r>
          </w:p>
        </w:tc>
      </w:tr>
    </w:tbl>
    <w:p w14:paraId="5B93BA3A" w14:textId="77777777" w:rsidR="00360F83" w:rsidRDefault="00360F83" w:rsidP="00CE6931"/>
    <w:p w14:paraId="4013C190" w14:textId="44BE825E" w:rsidR="00F3252E" w:rsidRPr="00F3252E" w:rsidRDefault="00F3252E" w:rsidP="00F3252E">
      <w:pPr>
        <w:pStyle w:val="IntenseQuote"/>
        <w:rPr>
          <w:rFonts w:ascii="Bookman Old Style" w:hAnsi="Bookman Old Style"/>
          <w:sz w:val="28"/>
          <w:szCs w:val="28"/>
        </w:rPr>
      </w:pPr>
      <w:r>
        <w:rPr>
          <w:rFonts w:ascii="Bookman Old Style" w:hAnsi="Bookman Old Style"/>
          <w:sz w:val="28"/>
          <w:szCs w:val="28"/>
        </w:rPr>
        <w:t>CONCLUSION AND INSIGHTS</w:t>
      </w:r>
    </w:p>
    <w:p w14:paraId="351B352A" w14:textId="0357ECB6" w:rsidR="00360F83" w:rsidRDefault="00F3252E" w:rsidP="00CE6931">
      <w:pPr>
        <w:rPr>
          <w:sz w:val="24"/>
          <w:szCs w:val="24"/>
        </w:rPr>
      </w:pPr>
      <w:r w:rsidRPr="00F3252E">
        <w:rPr>
          <w:b/>
          <w:bCs/>
          <w:i/>
          <w:iCs/>
          <w:color w:val="002060"/>
          <w:sz w:val="24"/>
          <w:szCs w:val="24"/>
        </w:rPr>
        <w:t>Several key insights emerge from this analysis. Ethereum stands out as the most attractive option for investors seeking a balance between growth and manageable risk, given its strong returns and relatively contained volatility. Bitcoin, while offering modest gains, remains the most dependable store of value among the three and serves as a solid entry point for first</w:t>
      </w:r>
      <w:r w:rsidR="00BC5A09">
        <w:rPr>
          <w:b/>
          <w:bCs/>
          <w:i/>
          <w:iCs/>
          <w:color w:val="002060"/>
          <w:sz w:val="24"/>
          <w:szCs w:val="24"/>
        </w:rPr>
        <w:t xml:space="preserve"> </w:t>
      </w:r>
      <w:r w:rsidRPr="00F3252E">
        <w:rPr>
          <w:b/>
          <w:bCs/>
          <w:i/>
          <w:iCs/>
          <w:color w:val="002060"/>
          <w:sz w:val="24"/>
          <w:szCs w:val="24"/>
        </w:rPr>
        <w:t>time crypto investors. Solana, despite its impressive price recovery, is best suited for experienced investors with a higher risk appetite and a short</w:t>
      </w:r>
      <w:r w:rsidR="00BC5A09">
        <w:rPr>
          <w:b/>
          <w:bCs/>
          <w:i/>
          <w:iCs/>
          <w:color w:val="002060"/>
          <w:sz w:val="24"/>
          <w:szCs w:val="24"/>
        </w:rPr>
        <w:t xml:space="preserve"> </w:t>
      </w:r>
      <w:r w:rsidRPr="00F3252E">
        <w:rPr>
          <w:b/>
          <w:bCs/>
          <w:i/>
          <w:iCs/>
          <w:color w:val="002060"/>
          <w:sz w:val="24"/>
          <w:szCs w:val="24"/>
        </w:rPr>
        <w:t>t</w:t>
      </w:r>
      <w:r w:rsidR="00BC5A09">
        <w:rPr>
          <w:b/>
          <w:bCs/>
          <w:i/>
          <w:iCs/>
          <w:color w:val="002060"/>
          <w:sz w:val="24"/>
          <w:szCs w:val="24"/>
        </w:rPr>
        <w:t xml:space="preserve">o </w:t>
      </w:r>
      <w:r w:rsidRPr="00F3252E">
        <w:rPr>
          <w:b/>
          <w:bCs/>
          <w:i/>
          <w:iCs/>
          <w:color w:val="002060"/>
          <w:sz w:val="24"/>
          <w:szCs w:val="24"/>
        </w:rPr>
        <w:t>medium term outlook. Overall, a diversified allocation across all three assets weighted towards Bitcoin and Ethereum appears to be the most prudent strategy for navigating the current crypto landscape</w:t>
      </w:r>
      <w:r w:rsidRPr="00F3252E">
        <w:rPr>
          <w:sz w:val="24"/>
          <w:szCs w:val="24"/>
        </w:rPr>
        <w:t>.</w:t>
      </w:r>
    </w:p>
    <w:p w14:paraId="7BEDF7EB" w14:textId="5F28C00C" w:rsidR="00F3252E" w:rsidRPr="00BC5A09" w:rsidRDefault="00BC5A09" w:rsidP="00CE6931">
      <w:pPr>
        <w:rPr>
          <w:i/>
          <w:iCs/>
          <w:sz w:val="24"/>
          <w:szCs w:val="24"/>
        </w:rPr>
      </w:pPr>
      <w:r w:rsidRPr="00BC5A09">
        <w:rPr>
          <w:b/>
          <w:bCs/>
          <w:i/>
          <w:iCs/>
          <w:color w:val="002060"/>
          <w:sz w:val="24"/>
          <w:szCs w:val="24"/>
        </w:rPr>
        <w:t>Over the 12month review period spanning May 2025 to May 2026, all three cryptocurrencies generated positive returns, reflecting a broadly favourable market environment. Ethereum distinguished itself as the strongest performer in terms of percentage appreciation, while Bitcoin continued to demonstrate the greatest price stability and lowest volatility across the period. Solana, although presenting considerable upside potential, carried a significantly elevated risk profile relative to the other two assets</w:t>
      </w:r>
      <w:r w:rsidRPr="00BC5A09">
        <w:rPr>
          <w:i/>
          <w:iCs/>
          <w:sz w:val="24"/>
          <w:szCs w:val="24"/>
        </w:rPr>
        <w:t>.</w:t>
      </w:r>
    </w:p>
    <w:sectPr w:rsidR="00F3252E" w:rsidRPr="00BC5A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220BD4"/>
    <w:multiLevelType w:val="multilevel"/>
    <w:tmpl w:val="DAB03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2250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D6"/>
    <w:rsid w:val="001E02E1"/>
    <w:rsid w:val="002B0AD6"/>
    <w:rsid w:val="0032338A"/>
    <w:rsid w:val="00360F83"/>
    <w:rsid w:val="006D160A"/>
    <w:rsid w:val="007721AC"/>
    <w:rsid w:val="007B0A24"/>
    <w:rsid w:val="00845672"/>
    <w:rsid w:val="00BA6E5B"/>
    <w:rsid w:val="00BC5A09"/>
    <w:rsid w:val="00BE6653"/>
    <w:rsid w:val="00BE706A"/>
    <w:rsid w:val="00CE6931"/>
    <w:rsid w:val="00F3252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CFDBB8"/>
  <w15:chartTrackingRefBased/>
  <w15:docId w15:val="{79415CD0-6737-4F47-9F23-0B769EBEF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0AD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B0AD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B0AD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B0AD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B0AD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B0A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0A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0A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0A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D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B0AD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B0AD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B0AD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B0AD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B0A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D6"/>
    <w:rPr>
      <w:rFonts w:eastAsiaTheme="majorEastAsia" w:cstheme="majorBidi"/>
      <w:color w:val="272727" w:themeColor="text1" w:themeTint="D8"/>
    </w:rPr>
  </w:style>
  <w:style w:type="paragraph" w:styleId="Title">
    <w:name w:val="Title"/>
    <w:basedOn w:val="Normal"/>
    <w:next w:val="Normal"/>
    <w:link w:val="TitleChar"/>
    <w:uiPriority w:val="10"/>
    <w:qFormat/>
    <w:rsid w:val="002B0A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0A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0A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D6"/>
    <w:pPr>
      <w:spacing w:before="160"/>
      <w:jc w:val="center"/>
    </w:pPr>
    <w:rPr>
      <w:i/>
      <w:iCs/>
      <w:color w:val="404040" w:themeColor="text1" w:themeTint="BF"/>
    </w:rPr>
  </w:style>
  <w:style w:type="character" w:customStyle="1" w:styleId="QuoteChar">
    <w:name w:val="Quote Char"/>
    <w:basedOn w:val="DefaultParagraphFont"/>
    <w:link w:val="Quote"/>
    <w:uiPriority w:val="29"/>
    <w:rsid w:val="002B0AD6"/>
    <w:rPr>
      <w:i/>
      <w:iCs/>
      <w:color w:val="404040" w:themeColor="text1" w:themeTint="BF"/>
    </w:rPr>
  </w:style>
  <w:style w:type="paragraph" w:styleId="ListParagraph">
    <w:name w:val="List Paragraph"/>
    <w:basedOn w:val="Normal"/>
    <w:uiPriority w:val="34"/>
    <w:qFormat/>
    <w:rsid w:val="002B0AD6"/>
    <w:pPr>
      <w:ind w:left="720"/>
      <w:contextualSpacing/>
    </w:pPr>
  </w:style>
  <w:style w:type="character" w:styleId="IntenseEmphasis">
    <w:name w:val="Intense Emphasis"/>
    <w:basedOn w:val="DefaultParagraphFont"/>
    <w:uiPriority w:val="21"/>
    <w:qFormat/>
    <w:rsid w:val="002B0AD6"/>
    <w:rPr>
      <w:i/>
      <w:iCs/>
      <w:color w:val="2F5496" w:themeColor="accent1" w:themeShade="BF"/>
    </w:rPr>
  </w:style>
  <w:style w:type="paragraph" w:styleId="IntenseQuote">
    <w:name w:val="Intense Quote"/>
    <w:basedOn w:val="Normal"/>
    <w:next w:val="Normal"/>
    <w:link w:val="IntenseQuoteChar"/>
    <w:uiPriority w:val="30"/>
    <w:qFormat/>
    <w:rsid w:val="002B0AD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B0AD6"/>
    <w:rPr>
      <w:i/>
      <w:iCs/>
      <w:color w:val="2F5496" w:themeColor="accent1" w:themeShade="BF"/>
    </w:rPr>
  </w:style>
  <w:style w:type="character" w:styleId="IntenseReference">
    <w:name w:val="Intense Reference"/>
    <w:basedOn w:val="DefaultParagraphFont"/>
    <w:uiPriority w:val="32"/>
    <w:qFormat/>
    <w:rsid w:val="002B0AD6"/>
    <w:rPr>
      <w:b/>
      <w:bCs/>
      <w:smallCaps/>
      <w:color w:val="2F5496" w:themeColor="accent1" w:themeShade="BF"/>
      <w:spacing w:val="5"/>
    </w:rPr>
  </w:style>
  <w:style w:type="character" w:styleId="BookTitle">
    <w:name w:val="Book Title"/>
    <w:basedOn w:val="DefaultParagraphFont"/>
    <w:uiPriority w:val="33"/>
    <w:qFormat/>
    <w:rsid w:val="002B0AD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127</TotalTime>
  <Pages>3</Pages>
  <Words>693</Words>
  <Characters>3953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Vedanshi Singh</dc:creator>
  <cp:keywords/>
  <dc:description/>
  <cp:lastModifiedBy>Vedanshi Singh</cp:lastModifiedBy>
  <cp:revision>1</cp:revision>
  <dcterms:created xsi:type="dcterms:W3CDTF">2026-05-14T18:06:00Z</dcterms:created>
  <dcterms:modified xsi:type="dcterms:W3CDTF">2026-05-14T20:13:00Z</dcterms:modified>
</cp:coreProperties>
</file>