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5E6C" w14:textId="6E0A827A" w:rsidR="00BE706A" w:rsidRPr="00AF1B6B" w:rsidRDefault="0094489D" w:rsidP="0094489D">
      <w:pPr>
        <w:jc w:val="center"/>
        <w:rPr>
          <w:rFonts w:ascii="Bookman Old Style" w:hAnsi="Bookman Old Style" w:cs="Times New Roman"/>
          <w:b/>
          <w:bCs/>
          <w:sz w:val="44"/>
          <w:szCs w:val="44"/>
          <w:u w:val="single"/>
        </w:rPr>
      </w:pPr>
      <w:r w:rsidRPr="00AF1B6B">
        <w:rPr>
          <w:rFonts w:ascii="Bookman Old Style" w:hAnsi="Bookman Old Style" w:cs="Times New Roman"/>
          <w:b/>
          <w:bCs/>
          <w:sz w:val="44"/>
          <w:szCs w:val="44"/>
          <w:u w:val="single"/>
        </w:rPr>
        <w:t>INVESTMENT PORTFOLIO CREATION</w:t>
      </w:r>
    </w:p>
    <w:p w14:paraId="76A742E8" w14:textId="64F1DA0D" w:rsidR="0094489D" w:rsidRDefault="0094489D" w:rsidP="0094489D">
      <w:pPr>
        <w:jc w:val="center"/>
        <w:rPr>
          <w:rStyle w:val="SubtleReference"/>
          <w:rFonts w:ascii="Bookman Old Style" w:hAnsi="Bookman Old Style" w:cs="Times New Roman"/>
          <w:b/>
          <w:bCs/>
          <w:color w:val="0D0D0D" w:themeColor="text1" w:themeTint="F2"/>
        </w:rPr>
      </w:pPr>
      <w:r w:rsidRPr="0094489D">
        <w:rPr>
          <w:rStyle w:val="SubtleReference"/>
          <w:rFonts w:ascii="Bookman Old Style" w:hAnsi="Bookman Old Style" w:cs="Times New Roman"/>
          <w:b/>
          <w:bCs/>
          <w:color w:val="0D0D0D" w:themeColor="text1" w:themeTint="F2"/>
        </w:rPr>
        <w:t>Code Alph</w:t>
      </w:r>
      <w:r>
        <w:rPr>
          <w:rStyle w:val="SubtleReference"/>
          <w:rFonts w:ascii="Bookman Old Style" w:hAnsi="Bookman Old Style" w:cs="Times New Roman"/>
          <w:b/>
          <w:bCs/>
          <w:color w:val="0D0D0D" w:themeColor="text1" w:themeTint="F2"/>
        </w:rPr>
        <w:t>a investment analysis</w:t>
      </w:r>
      <w:r w:rsidRPr="0094489D">
        <w:rPr>
          <w:rStyle w:val="SubtleReference"/>
          <w:rFonts w:ascii="Bookman Old Style" w:hAnsi="Bookman Old Style" w:cs="Times New Roman"/>
          <w:b/>
          <w:bCs/>
          <w:color w:val="0D0D0D" w:themeColor="text1" w:themeTint="F2"/>
        </w:rPr>
        <w:t>/Task3/May 2026</w:t>
      </w:r>
    </w:p>
    <w:p w14:paraId="1C15D8A5" w14:textId="77777777" w:rsidR="0094489D" w:rsidRPr="0094489D" w:rsidRDefault="0094489D" w:rsidP="0094489D">
      <w:pPr>
        <w:rPr>
          <w:rStyle w:val="SubtleReference"/>
          <w:rFonts w:ascii="Bookman Old Style" w:hAnsi="Bookman Old Style" w:cs="Times New Roman"/>
          <w:b/>
          <w:bCs/>
          <w:color w:val="0D0D0D" w:themeColor="text1" w:themeTint="F2"/>
        </w:rPr>
      </w:pPr>
    </w:p>
    <w:p w14:paraId="3DFA1883" w14:textId="77777777" w:rsidR="0094489D" w:rsidRDefault="0094489D" w:rsidP="0094489D">
      <w:pPr>
        <w:jc w:val="center"/>
        <w:rPr>
          <w:rStyle w:val="SubtleReference"/>
          <w:rFonts w:ascii="Times New Roman" w:hAnsi="Times New Roman" w:cs="Times New Roman"/>
          <w:b/>
          <w:bCs/>
          <w:color w:val="0D0D0D" w:themeColor="text1" w:themeTint="F2"/>
        </w:rPr>
      </w:pPr>
    </w:p>
    <w:p w14:paraId="7A529662" w14:textId="77777777" w:rsidR="0094489D" w:rsidRDefault="0094489D" w:rsidP="0094489D">
      <w:pPr>
        <w:jc w:val="center"/>
        <w:rPr>
          <w:rStyle w:val="SubtleReference"/>
          <w:rFonts w:ascii="Times New Roman" w:hAnsi="Times New Roman" w:cs="Times New Roman"/>
          <w:b/>
          <w:bCs/>
          <w:color w:val="0D0D0D" w:themeColor="text1" w:themeTint="F2"/>
        </w:rPr>
      </w:pPr>
    </w:p>
    <w:p w14:paraId="7D9ED252" w14:textId="50F791AB" w:rsidR="00AF1B6B" w:rsidRPr="00AF1B6B" w:rsidRDefault="0094489D" w:rsidP="00AF1B6B">
      <w:pPr>
        <w:pStyle w:val="Heading1"/>
        <w:numPr>
          <w:ilvl w:val="0"/>
          <w:numId w:val="0"/>
        </w:numPr>
        <w:rPr>
          <w:rFonts w:ascii="Times New Roman" w:hAnsi="Times New Roman" w:cs="Times New Roman"/>
          <w:smallCaps w:val="0"/>
          <w:color w:val="2F5496" w:themeColor="accent1" w:themeShade="BF"/>
          <w:sz w:val="32"/>
          <w:szCs w:val="32"/>
        </w:rPr>
      </w:pPr>
      <w:r w:rsidRPr="00AF1B6B">
        <w:rPr>
          <w:rStyle w:val="SubtleReference"/>
          <w:rFonts w:ascii="Times New Roman" w:hAnsi="Times New Roman" w:cs="Times New Roman"/>
          <w:color w:val="2F5496" w:themeColor="accent1" w:themeShade="BF"/>
          <w:sz w:val="32"/>
          <w:szCs w:val="32"/>
          <w:u w:val="none"/>
        </w:rPr>
        <w:t>I</w:t>
      </w:r>
      <w:r w:rsidR="00AF1B6B" w:rsidRPr="00AF1B6B">
        <w:rPr>
          <w:rStyle w:val="SubtleReference"/>
          <w:rFonts w:ascii="Times New Roman" w:hAnsi="Times New Roman" w:cs="Times New Roman"/>
          <w:color w:val="2F5496" w:themeColor="accent1" w:themeShade="BF"/>
          <w:sz w:val="32"/>
          <w:szCs w:val="32"/>
          <w:u w:val="none"/>
        </w:rPr>
        <w:t>NTRODUCTION</w:t>
      </w:r>
    </w:p>
    <w:p w14:paraId="367572B2" w14:textId="52BDD946" w:rsidR="00AF1B6B" w:rsidRDefault="0094489D" w:rsidP="0094489D">
      <w:pPr>
        <w:rPr>
          <w:rFonts w:ascii="Cambria Math" w:hAnsi="Cambria Math"/>
        </w:rPr>
      </w:pPr>
      <w:r w:rsidRPr="0094489D">
        <w:rPr>
          <w:rFonts w:ascii="Cambria Math" w:hAnsi="Cambria Math"/>
          <w:sz w:val="24"/>
          <w:szCs w:val="24"/>
        </w:rPr>
        <w:t>This report outlines a sample investment portfolio of Rs. 1,00,000 created during the Code</w:t>
      </w:r>
      <w:r w:rsidRPr="0094489D">
        <w:rPr>
          <w:rFonts w:ascii="Cambria Math" w:hAnsi="Cambria Math"/>
          <w:sz w:val="24"/>
          <w:szCs w:val="24"/>
        </w:rPr>
        <w:t xml:space="preserve"> </w:t>
      </w:r>
      <w:r w:rsidRPr="0094489D">
        <w:rPr>
          <w:rFonts w:ascii="Cambria Math" w:hAnsi="Cambria Math"/>
          <w:sz w:val="24"/>
          <w:szCs w:val="24"/>
        </w:rPr>
        <w:t>Alpha Finance and Investment Analysis Internship. This is designed to divide the corpus between three asset classes - Stocks, ETFs, and Cryptocurrency in such a way that a good potential for growth can be realized along with efficient risk mitigation. Every investment made in this portfolio is a result of being carefully chosen based on its fundamental strength, market viability, and its relevance for a first-time investor with a moderate risk tolerance</w:t>
      </w:r>
      <w:r w:rsidRPr="0094489D">
        <w:rPr>
          <w:rFonts w:ascii="Cambria Math" w:hAnsi="Cambria Math"/>
        </w:rPr>
        <w:t>.</w:t>
      </w:r>
    </w:p>
    <w:p w14:paraId="4D85B7E0" w14:textId="1FE70C7F" w:rsidR="00AF1B6B" w:rsidRDefault="00AF1B6B" w:rsidP="00AF1B6B">
      <w:pPr>
        <w:pStyle w:val="Heading1"/>
        <w:numPr>
          <w:ilvl w:val="0"/>
          <w:numId w:val="0"/>
        </w:numPr>
        <w:ind w:left="432" w:hanging="432"/>
        <w:rPr>
          <w:rFonts w:ascii="Times New Roman" w:hAnsi="Times New Roman" w:cs="Times New Roman"/>
          <w:color w:val="2F5496" w:themeColor="accent1" w:themeShade="BF"/>
          <w:sz w:val="32"/>
          <w:szCs w:val="32"/>
        </w:rPr>
      </w:pPr>
      <w:r w:rsidRPr="00AF1B6B">
        <w:rPr>
          <w:rFonts w:ascii="Times New Roman" w:hAnsi="Times New Roman" w:cs="Times New Roman"/>
          <w:color w:val="2F5496" w:themeColor="accent1" w:themeShade="BF"/>
          <w:sz w:val="32"/>
          <w:szCs w:val="32"/>
        </w:rPr>
        <w:t>Portfolio Objective</w:t>
      </w:r>
    </w:p>
    <w:p w14:paraId="7380650D" w14:textId="21809FEF" w:rsidR="00AF1B6B" w:rsidRPr="00AF1B6B" w:rsidRDefault="00AF1B6B" w:rsidP="00AF1B6B">
      <w:pPr>
        <w:rPr>
          <w:sz w:val="24"/>
          <w:szCs w:val="24"/>
        </w:rPr>
      </w:pPr>
      <w:r w:rsidRPr="00AF1B6B">
        <w:rPr>
          <w:rFonts w:ascii="Cambria Math" w:hAnsi="Cambria Math"/>
          <w:sz w:val="24"/>
          <w:szCs w:val="24"/>
        </w:rPr>
        <w:t>The ultimate aim of this portfolio is to generate slow, steady, long term capital appreciation without excessive downside risk, by utilizing the principle of</w:t>
      </w:r>
      <w:r w:rsidR="00473B9B">
        <w:rPr>
          <w:rFonts w:ascii="Cambria Math" w:hAnsi="Cambria Math"/>
          <w:sz w:val="24"/>
          <w:szCs w:val="24"/>
        </w:rPr>
        <w:t xml:space="preserve"> </w:t>
      </w:r>
      <w:r w:rsidRPr="00AF1B6B">
        <w:rPr>
          <w:rFonts w:ascii="Cambria Math" w:hAnsi="Cambria Math"/>
          <w:sz w:val="24"/>
          <w:szCs w:val="24"/>
        </w:rPr>
        <w:t>diversification. By spreading the investment across multiple asset classes like large cap Indian equities, index and gold ETFs and a selection of the major crypto</w:t>
      </w:r>
      <w:r w:rsidR="00473B9B">
        <w:rPr>
          <w:rFonts w:ascii="Cambria Math" w:hAnsi="Cambria Math"/>
          <w:sz w:val="24"/>
          <w:szCs w:val="24"/>
        </w:rPr>
        <w:t xml:space="preserve"> </w:t>
      </w:r>
      <w:r w:rsidRPr="00AF1B6B">
        <w:rPr>
          <w:rFonts w:ascii="Cambria Math" w:hAnsi="Cambria Math"/>
          <w:sz w:val="24"/>
          <w:szCs w:val="24"/>
        </w:rPr>
        <w:t>currencies, this portfolio aims to capture multiple growth possibilities, without one asset class being solely responsible for the portfolio's risk. This fits a young investor with a time horizon of 3-5 years</w:t>
      </w:r>
      <w:r w:rsidRPr="00AF1B6B">
        <w:rPr>
          <w:sz w:val="24"/>
          <w:szCs w:val="24"/>
        </w:rPr>
        <w:t>.</w:t>
      </w:r>
    </w:p>
    <w:p w14:paraId="1E2EF2DC" w14:textId="77777777" w:rsidR="00AF1B6B" w:rsidRDefault="00AF1B6B" w:rsidP="00AF1B6B">
      <w:pPr>
        <w:pStyle w:val="Heading1"/>
        <w:numPr>
          <w:ilvl w:val="0"/>
          <w:numId w:val="0"/>
        </w:numPr>
        <w:ind w:left="432" w:hanging="432"/>
        <w:rPr>
          <w:rFonts w:ascii="Times New Roman" w:hAnsi="Times New Roman" w:cs="Times New Roman"/>
          <w:color w:val="2F5496" w:themeColor="accent1" w:themeShade="BF"/>
          <w:sz w:val="32"/>
          <w:szCs w:val="32"/>
        </w:rPr>
      </w:pPr>
      <w:r w:rsidRPr="00AF1B6B">
        <w:rPr>
          <w:rFonts w:ascii="Times New Roman" w:hAnsi="Times New Roman" w:cs="Times New Roman"/>
          <w:color w:val="2F5496" w:themeColor="accent1" w:themeShade="BF"/>
          <w:sz w:val="32"/>
          <w:szCs w:val="32"/>
        </w:rPr>
        <w:t>Asset Allocation Overview</w:t>
      </w:r>
    </w:p>
    <w:p w14:paraId="100DFDDD" w14:textId="77777777" w:rsidR="00A10A6C" w:rsidRPr="00A10A6C" w:rsidRDefault="00A10A6C" w:rsidP="00A10A6C"/>
    <w:tbl>
      <w:tblPr>
        <w:tblStyle w:val="TableGrid"/>
        <w:tblW w:w="9044" w:type="dxa"/>
        <w:tblLook w:val="04A0" w:firstRow="1" w:lastRow="0" w:firstColumn="1" w:lastColumn="0" w:noHBand="0" w:noVBand="1"/>
      </w:tblPr>
      <w:tblGrid>
        <w:gridCol w:w="1809"/>
        <w:gridCol w:w="2026"/>
        <w:gridCol w:w="1706"/>
        <w:gridCol w:w="1848"/>
        <w:gridCol w:w="1655"/>
      </w:tblGrid>
      <w:tr w:rsidR="00A10A6C" w14:paraId="6E8E3A84" w14:textId="77777777" w:rsidTr="00E64E74">
        <w:trPr>
          <w:trHeight w:val="595"/>
        </w:trPr>
        <w:tc>
          <w:tcPr>
            <w:tcW w:w="1809" w:type="dxa"/>
            <w:shd w:val="clear" w:color="auto" w:fill="B4C6E7" w:themeFill="accent1" w:themeFillTint="66"/>
          </w:tcPr>
          <w:p w14:paraId="3A785073" w14:textId="37F7BE1F" w:rsidR="00A10A6C" w:rsidRPr="00A10A6C" w:rsidRDefault="00A10A6C" w:rsidP="00A10A6C">
            <w:pPr>
              <w:jc w:val="center"/>
              <w:rPr>
                <w:rFonts w:ascii="Cambria Math" w:hAnsi="Cambria Math"/>
                <w:b/>
                <w:bCs/>
                <w:color w:val="2E74B5" w:themeColor="accent5" w:themeShade="BF"/>
                <w:sz w:val="24"/>
                <w:szCs w:val="24"/>
              </w:rPr>
            </w:pPr>
            <w:r w:rsidRPr="00A10A6C">
              <w:rPr>
                <w:rFonts w:ascii="Cambria Math" w:hAnsi="Cambria Math"/>
                <w:b/>
                <w:bCs/>
                <w:color w:val="2E74B5" w:themeColor="accent5" w:themeShade="BF"/>
                <w:sz w:val="24"/>
                <w:szCs w:val="24"/>
              </w:rPr>
              <w:t>Asset Class</w:t>
            </w:r>
          </w:p>
        </w:tc>
        <w:tc>
          <w:tcPr>
            <w:tcW w:w="2026" w:type="dxa"/>
            <w:shd w:val="clear" w:color="auto" w:fill="B4C6E7" w:themeFill="accent1" w:themeFillTint="66"/>
          </w:tcPr>
          <w:p w14:paraId="34B31117" w14:textId="0BF4DA28" w:rsidR="00A10A6C" w:rsidRPr="00A10A6C" w:rsidRDefault="00A10A6C" w:rsidP="00A10A6C">
            <w:pPr>
              <w:jc w:val="center"/>
              <w:rPr>
                <w:rFonts w:ascii="Cambria Math" w:hAnsi="Cambria Math"/>
                <w:b/>
                <w:bCs/>
                <w:color w:val="2E74B5" w:themeColor="accent5" w:themeShade="BF"/>
                <w:sz w:val="24"/>
                <w:szCs w:val="24"/>
              </w:rPr>
            </w:pPr>
            <w:r>
              <w:rPr>
                <w:rFonts w:ascii="Cambria Math" w:hAnsi="Cambria Math"/>
                <w:b/>
                <w:bCs/>
                <w:color w:val="2E74B5" w:themeColor="accent5" w:themeShade="BF"/>
                <w:sz w:val="24"/>
                <w:szCs w:val="24"/>
              </w:rPr>
              <w:t xml:space="preserve">Amount </w:t>
            </w:r>
            <w:r w:rsidRPr="00A10A6C">
              <w:rPr>
                <w:rFonts w:ascii="Cambria Math" w:hAnsi="Cambria Math"/>
                <w:b/>
                <w:bCs/>
                <w:color w:val="2E74B5" w:themeColor="accent5" w:themeShade="BF"/>
                <w:sz w:val="24"/>
                <w:szCs w:val="24"/>
              </w:rPr>
              <w:t>Invested</w:t>
            </w:r>
          </w:p>
        </w:tc>
        <w:tc>
          <w:tcPr>
            <w:tcW w:w="1706" w:type="dxa"/>
            <w:shd w:val="clear" w:color="auto" w:fill="B4C6E7" w:themeFill="accent1" w:themeFillTint="66"/>
          </w:tcPr>
          <w:p w14:paraId="54A361E4" w14:textId="5714E49E" w:rsidR="00A10A6C" w:rsidRPr="00A10A6C" w:rsidRDefault="00A10A6C" w:rsidP="00A10A6C">
            <w:pPr>
              <w:jc w:val="center"/>
              <w:rPr>
                <w:rFonts w:ascii="Cambria Math" w:hAnsi="Cambria Math"/>
                <w:b/>
                <w:bCs/>
                <w:color w:val="2E74B5" w:themeColor="accent5" w:themeShade="BF"/>
                <w:sz w:val="24"/>
                <w:szCs w:val="24"/>
              </w:rPr>
            </w:pPr>
            <w:r w:rsidRPr="00A10A6C">
              <w:rPr>
                <w:rFonts w:ascii="Cambria Math" w:hAnsi="Cambria Math"/>
                <w:b/>
                <w:bCs/>
                <w:color w:val="2E74B5" w:themeColor="accent5" w:themeShade="BF"/>
                <w:sz w:val="24"/>
                <w:szCs w:val="24"/>
              </w:rPr>
              <w:t>% Allocation</w:t>
            </w:r>
          </w:p>
        </w:tc>
        <w:tc>
          <w:tcPr>
            <w:tcW w:w="1848" w:type="dxa"/>
            <w:shd w:val="clear" w:color="auto" w:fill="B4C6E7" w:themeFill="accent1" w:themeFillTint="66"/>
          </w:tcPr>
          <w:p w14:paraId="1AEF4D0F" w14:textId="76937FE3" w:rsidR="00A10A6C" w:rsidRPr="00A10A6C" w:rsidRDefault="00A10A6C" w:rsidP="00A10A6C">
            <w:pPr>
              <w:jc w:val="center"/>
              <w:rPr>
                <w:rFonts w:ascii="Cambria Math" w:hAnsi="Cambria Math"/>
                <w:b/>
                <w:bCs/>
                <w:color w:val="2E74B5" w:themeColor="accent5" w:themeShade="BF"/>
                <w:sz w:val="24"/>
                <w:szCs w:val="24"/>
              </w:rPr>
            </w:pPr>
            <w:r w:rsidRPr="00A10A6C">
              <w:rPr>
                <w:rFonts w:ascii="Cambria Math" w:hAnsi="Cambria Math"/>
                <w:b/>
                <w:bCs/>
                <w:color w:val="2E74B5" w:themeColor="accent5" w:themeShade="BF"/>
                <w:sz w:val="24"/>
                <w:szCs w:val="24"/>
              </w:rPr>
              <w:t>No. of Holdings</w:t>
            </w:r>
          </w:p>
        </w:tc>
        <w:tc>
          <w:tcPr>
            <w:tcW w:w="1655" w:type="dxa"/>
            <w:shd w:val="clear" w:color="auto" w:fill="B4C6E7" w:themeFill="accent1" w:themeFillTint="66"/>
          </w:tcPr>
          <w:p w14:paraId="696BFB22" w14:textId="4CFECA05" w:rsidR="00A10A6C" w:rsidRPr="00A10A6C" w:rsidRDefault="00A10A6C" w:rsidP="00A10A6C">
            <w:pPr>
              <w:jc w:val="center"/>
              <w:rPr>
                <w:rFonts w:ascii="Cambria Math" w:hAnsi="Cambria Math"/>
                <w:b/>
                <w:bCs/>
                <w:color w:val="2E74B5" w:themeColor="accent5" w:themeShade="BF"/>
                <w:sz w:val="24"/>
                <w:szCs w:val="24"/>
              </w:rPr>
            </w:pPr>
            <w:r w:rsidRPr="00A10A6C">
              <w:rPr>
                <w:rFonts w:ascii="Cambria Math" w:hAnsi="Cambria Math"/>
                <w:b/>
                <w:bCs/>
                <w:color w:val="2E74B5" w:themeColor="accent5" w:themeShade="BF"/>
                <w:sz w:val="24"/>
                <w:szCs w:val="24"/>
              </w:rPr>
              <w:t>Risk Level</w:t>
            </w:r>
          </w:p>
        </w:tc>
      </w:tr>
      <w:tr w:rsidR="00A10A6C" w14:paraId="3E86CA3D" w14:textId="77777777" w:rsidTr="00E64E74">
        <w:trPr>
          <w:trHeight w:val="761"/>
        </w:trPr>
        <w:tc>
          <w:tcPr>
            <w:tcW w:w="1809" w:type="dxa"/>
          </w:tcPr>
          <w:p w14:paraId="7831E112" w14:textId="77777777" w:rsidR="00E64E74" w:rsidRPr="00473B9B" w:rsidRDefault="00E64E74" w:rsidP="00E64E74">
            <w:pPr>
              <w:jc w:val="center"/>
              <w:rPr>
                <w:i/>
                <w:iCs/>
                <w:sz w:val="24"/>
                <w:szCs w:val="24"/>
              </w:rPr>
            </w:pPr>
          </w:p>
          <w:p w14:paraId="7A703B1C" w14:textId="4F7C8CC9" w:rsidR="00A10A6C" w:rsidRPr="00473B9B" w:rsidRDefault="00A10A6C" w:rsidP="00E64E74">
            <w:pPr>
              <w:jc w:val="center"/>
              <w:rPr>
                <w:i/>
                <w:iCs/>
                <w:sz w:val="24"/>
                <w:szCs w:val="24"/>
              </w:rPr>
            </w:pPr>
            <w:r w:rsidRPr="00473B9B">
              <w:rPr>
                <w:i/>
                <w:iCs/>
                <w:sz w:val="24"/>
                <w:szCs w:val="24"/>
              </w:rPr>
              <w:t>Stocks</w:t>
            </w:r>
          </w:p>
          <w:p w14:paraId="6167BAC2" w14:textId="2811DA8A" w:rsidR="00A10A6C" w:rsidRPr="00473B9B" w:rsidRDefault="00A10A6C" w:rsidP="00E64E74">
            <w:pPr>
              <w:jc w:val="center"/>
              <w:rPr>
                <w:i/>
                <w:iCs/>
                <w:sz w:val="24"/>
                <w:szCs w:val="24"/>
              </w:rPr>
            </w:pPr>
          </w:p>
        </w:tc>
        <w:tc>
          <w:tcPr>
            <w:tcW w:w="2026" w:type="dxa"/>
          </w:tcPr>
          <w:p w14:paraId="061AED11" w14:textId="404F4978" w:rsidR="00A10A6C" w:rsidRDefault="00A10A6C" w:rsidP="00A10A6C">
            <w:pPr>
              <w:jc w:val="center"/>
            </w:pPr>
          </w:p>
          <w:p w14:paraId="63749864" w14:textId="3CC25D21" w:rsidR="00A10A6C" w:rsidRDefault="00E64E74" w:rsidP="00E64E74">
            <w:pPr>
              <w:jc w:val="center"/>
            </w:pPr>
            <w:r>
              <w:t>₹50000</w:t>
            </w:r>
          </w:p>
        </w:tc>
        <w:tc>
          <w:tcPr>
            <w:tcW w:w="1706" w:type="dxa"/>
          </w:tcPr>
          <w:p w14:paraId="4F973021" w14:textId="77777777" w:rsidR="00A10A6C" w:rsidRDefault="00A10A6C" w:rsidP="00E64E74">
            <w:pPr>
              <w:jc w:val="center"/>
            </w:pPr>
          </w:p>
          <w:p w14:paraId="0B070E19" w14:textId="45C6FF59" w:rsidR="00E64E74" w:rsidRDefault="00E64E74" w:rsidP="00E64E74">
            <w:pPr>
              <w:jc w:val="center"/>
            </w:pPr>
            <w:r>
              <w:t>50%</w:t>
            </w:r>
          </w:p>
        </w:tc>
        <w:tc>
          <w:tcPr>
            <w:tcW w:w="1848" w:type="dxa"/>
          </w:tcPr>
          <w:p w14:paraId="69D4798A" w14:textId="77777777" w:rsidR="00A10A6C" w:rsidRDefault="00A10A6C" w:rsidP="00E64E74">
            <w:pPr>
              <w:jc w:val="center"/>
            </w:pPr>
          </w:p>
          <w:p w14:paraId="28B4796D" w14:textId="17478046" w:rsidR="00E64E74" w:rsidRDefault="00E64E74" w:rsidP="00E64E74">
            <w:pPr>
              <w:jc w:val="center"/>
            </w:pPr>
            <w:r>
              <w:t>3</w:t>
            </w:r>
          </w:p>
        </w:tc>
        <w:tc>
          <w:tcPr>
            <w:tcW w:w="1655" w:type="dxa"/>
          </w:tcPr>
          <w:p w14:paraId="19501D18" w14:textId="77777777" w:rsidR="00A10A6C" w:rsidRDefault="00A10A6C" w:rsidP="00E64E74">
            <w:pPr>
              <w:jc w:val="center"/>
            </w:pPr>
          </w:p>
          <w:p w14:paraId="69E49485" w14:textId="77777777" w:rsidR="00E64E74" w:rsidRDefault="00E64E74" w:rsidP="00E64E74">
            <w:pPr>
              <w:jc w:val="center"/>
            </w:pPr>
            <w:r>
              <w:t>Moderate</w:t>
            </w:r>
          </w:p>
          <w:p w14:paraId="2EA301BF" w14:textId="05E0BBCA" w:rsidR="00E64E74" w:rsidRDefault="00E64E74" w:rsidP="00E64E74">
            <w:pPr>
              <w:jc w:val="center"/>
            </w:pPr>
          </w:p>
        </w:tc>
      </w:tr>
      <w:tr w:rsidR="00A10A6C" w14:paraId="6C36FB32" w14:textId="77777777" w:rsidTr="00E64E74">
        <w:trPr>
          <w:trHeight w:val="770"/>
        </w:trPr>
        <w:tc>
          <w:tcPr>
            <w:tcW w:w="1809" w:type="dxa"/>
          </w:tcPr>
          <w:p w14:paraId="521485DC" w14:textId="77777777" w:rsidR="00E64E74" w:rsidRPr="00473B9B" w:rsidRDefault="00E64E74" w:rsidP="00E64E74">
            <w:pPr>
              <w:jc w:val="center"/>
              <w:rPr>
                <w:i/>
                <w:iCs/>
                <w:sz w:val="24"/>
                <w:szCs w:val="24"/>
              </w:rPr>
            </w:pPr>
          </w:p>
          <w:p w14:paraId="0142A851" w14:textId="2C945884" w:rsidR="00A10A6C" w:rsidRPr="00473B9B" w:rsidRDefault="00A10A6C" w:rsidP="00E64E74">
            <w:pPr>
              <w:jc w:val="center"/>
              <w:rPr>
                <w:i/>
                <w:iCs/>
                <w:sz w:val="24"/>
                <w:szCs w:val="24"/>
              </w:rPr>
            </w:pPr>
            <w:r w:rsidRPr="00473B9B">
              <w:rPr>
                <w:i/>
                <w:iCs/>
                <w:sz w:val="24"/>
                <w:szCs w:val="24"/>
              </w:rPr>
              <w:t>ETFs</w:t>
            </w:r>
          </w:p>
          <w:p w14:paraId="5409556F" w14:textId="774A7935" w:rsidR="00A10A6C" w:rsidRPr="00473B9B" w:rsidRDefault="00A10A6C" w:rsidP="00E64E74">
            <w:pPr>
              <w:jc w:val="center"/>
              <w:rPr>
                <w:i/>
                <w:iCs/>
                <w:sz w:val="24"/>
                <w:szCs w:val="24"/>
              </w:rPr>
            </w:pPr>
          </w:p>
        </w:tc>
        <w:tc>
          <w:tcPr>
            <w:tcW w:w="2026" w:type="dxa"/>
          </w:tcPr>
          <w:p w14:paraId="10D7FF12" w14:textId="77777777" w:rsidR="00A10A6C" w:rsidRDefault="00A10A6C" w:rsidP="00AF1B6B"/>
          <w:p w14:paraId="051F63E9" w14:textId="6B9471C1" w:rsidR="00E64E74" w:rsidRDefault="00E64E74" w:rsidP="00E64E74">
            <w:pPr>
              <w:jc w:val="center"/>
            </w:pPr>
            <w:r>
              <w:t>₹30000</w:t>
            </w:r>
          </w:p>
        </w:tc>
        <w:tc>
          <w:tcPr>
            <w:tcW w:w="1706" w:type="dxa"/>
          </w:tcPr>
          <w:p w14:paraId="4CE73D42" w14:textId="77777777" w:rsidR="00A10A6C" w:rsidRDefault="00A10A6C" w:rsidP="00E64E74">
            <w:pPr>
              <w:jc w:val="center"/>
            </w:pPr>
          </w:p>
          <w:p w14:paraId="20489A4B" w14:textId="4C081E67" w:rsidR="00E64E74" w:rsidRDefault="00E64E74" w:rsidP="00E64E74">
            <w:pPr>
              <w:jc w:val="center"/>
            </w:pPr>
            <w:r>
              <w:t>30%</w:t>
            </w:r>
          </w:p>
        </w:tc>
        <w:tc>
          <w:tcPr>
            <w:tcW w:w="1848" w:type="dxa"/>
          </w:tcPr>
          <w:p w14:paraId="390CF795" w14:textId="77777777" w:rsidR="00A10A6C" w:rsidRDefault="00A10A6C" w:rsidP="00E64E74">
            <w:pPr>
              <w:jc w:val="center"/>
            </w:pPr>
          </w:p>
          <w:p w14:paraId="1C53EF03" w14:textId="4182E2F9" w:rsidR="00E64E74" w:rsidRDefault="00E64E74" w:rsidP="00E64E74">
            <w:pPr>
              <w:jc w:val="center"/>
            </w:pPr>
            <w:r>
              <w:t>2</w:t>
            </w:r>
          </w:p>
        </w:tc>
        <w:tc>
          <w:tcPr>
            <w:tcW w:w="1655" w:type="dxa"/>
          </w:tcPr>
          <w:p w14:paraId="2767552F" w14:textId="77777777" w:rsidR="00A10A6C" w:rsidRDefault="00A10A6C" w:rsidP="00E64E74">
            <w:pPr>
              <w:jc w:val="center"/>
            </w:pPr>
          </w:p>
          <w:p w14:paraId="5B050FAB" w14:textId="6A7BCF25" w:rsidR="00E64E74" w:rsidRDefault="00E64E74" w:rsidP="00E64E74">
            <w:pPr>
              <w:jc w:val="center"/>
            </w:pPr>
            <w:r>
              <w:t>Low</w:t>
            </w:r>
          </w:p>
        </w:tc>
      </w:tr>
      <w:tr w:rsidR="00A10A6C" w14:paraId="5AECA99D" w14:textId="77777777" w:rsidTr="00E64E74">
        <w:trPr>
          <w:trHeight w:val="761"/>
        </w:trPr>
        <w:tc>
          <w:tcPr>
            <w:tcW w:w="1809" w:type="dxa"/>
          </w:tcPr>
          <w:p w14:paraId="1DD72559" w14:textId="77777777" w:rsidR="00E64E74" w:rsidRPr="00473B9B" w:rsidRDefault="00E64E74" w:rsidP="00E64E74">
            <w:pPr>
              <w:jc w:val="center"/>
              <w:rPr>
                <w:i/>
                <w:iCs/>
                <w:sz w:val="24"/>
                <w:szCs w:val="24"/>
              </w:rPr>
            </w:pPr>
          </w:p>
          <w:p w14:paraId="0235F0E7" w14:textId="786034D1" w:rsidR="00A10A6C" w:rsidRPr="00473B9B" w:rsidRDefault="00A10A6C" w:rsidP="00E64E74">
            <w:pPr>
              <w:jc w:val="center"/>
              <w:rPr>
                <w:i/>
                <w:iCs/>
                <w:sz w:val="24"/>
                <w:szCs w:val="24"/>
              </w:rPr>
            </w:pPr>
            <w:r w:rsidRPr="00473B9B">
              <w:rPr>
                <w:i/>
                <w:iCs/>
                <w:sz w:val="24"/>
                <w:szCs w:val="24"/>
              </w:rPr>
              <w:t>Crypto</w:t>
            </w:r>
          </w:p>
          <w:p w14:paraId="144F9278" w14:textId="39AF0B14" w:rsidR="00A10A6C" w:rsidRPr="00473B9B" w:rsidRDefault="00A10A6C" w:rsidP="00E64E74">
            <w:pPr>
              <w:jc w:val="center"/>
              <w:rPr>
                <w:i/>
                <w:iCs/>
                <w:sz w:val="24"/>
                <w:szCs w:val="24"/>
              </w:rPr>
            </w:pPr>
          </w:p>
        </w:tc>
        <w:tc>
          <w:tcPr>
            <w:tcW w:w="2026" w:type="dxa"/>
          </w:tcPr>
          <w:p w14:paraId="0E52E140" w14:textId="77777777" w:rsidR="00A10A6C" w:rsidRDefault="00A10A6C" w:rsidP="00AF1B6B"/>
          <w:p w14:paraId="4BB2CF3F" w14:textId="5A8AB6D0" w:rsidR="00E64E74" w:rsidRDefault="00E64E74" w:rsidP="00E64E74">
            <w:pPr>
              <w:jc w:val="center"/>
            </w:pPr>
            <w:r>
              <w:t>₹20000</w:t>
            </w:r>
          </w:p>
        </w:tc>
        <w:tc>
          <w:tcPr>
            <w:tcW w:w="1706" w:type="dxa"/>
          </w:tcPr>
          <w:p w14:paraId="3A73A03E" w14:textId="77777777" w:rsidR="00A10A6C" w:rsidRDefault="00A10A6C" w:rsidP="00E64E74">
            <w:pPr>
              <w:jc w:val="center"/>
            </w:pPr>
          </w:p>
          <w:p w14:paraId="25C592EF" w14:textId="12DD3764" w:rsidR="00E64E74" w:rsidRDefault="00E64E74" w:rsidP="00E64E74">
            <w:pPr>
              <w:jc w:val="center"/>
            </w:pPr>
            <w:r>
              <w:t>20%</w:t>
            </w:r>
          </w:p>
        </w:tc>
        <w:tc>
          <w:tcPr>
            <w:tcW w:w="1848" w:type="dxa"/>
          </w:tcPr>
          <w:p w14:paraId="004C783A" w14:textId="77777777" w:rsidR="00A10A6C" w:rsidRDefault="00A10A6C" w:rsidP="00E64E74">
            <w:pPr>
              <w:jc w:val="center"/>
            </w:pPr>
          </w:p>
          <w:p w14:paraId="27A295A5" w14:textId="10ACFBA6" w:rsidR="00E64E74" w:rsidRDefault="00E64E74" w:rsidP="00E64E74">
            <w:pPr>
              <w:jc w:val="center"/>
            </w:pPr>
            <w:r>
              <w:t>2</w:t>
            </w:r>
          </w:p>
        </w:tc>
        <w:tc>
          <w:tcPr>
            <w:tcW w:w="1655" w:type="dxa"/>
          </w:tcPr>
          <w:p w14:paraId="2267B5D4" w14:textId="77777777" w:rsidR="00A10A6C" w:rsidRDefault="00A10A6C" w:rsidP="00E64E74">
            <w:pPr>
              <w:jc w:val="center"/>
            </w:pPr>
          </w:p>
          <w:p w14:paraId="2353A4F9" w14:textId="34A871F5" w:rsidR="00E64E74" w:rsidRDefault="00E64E74" w:rsidP="00E64E74">
            <w:pPr>
              <w:jc w:val="center"/>
            </w:pPr>
            <w:r>
              <w:t>High</w:t>
            </w:r>
          </w:p>
        </w:tc>
      </w:tr>
      <w:tr w:rsidR="00A10A6C" w14:paraId="22AF12E9" w14:textId="77777777" w:rsidTr="00E64E74">
        <w:trPr>
          <w:trHeight w:val="770"/>
        </w:trPr>
        <w:tc>
          <w:tcPr>
            <w:tcW w:w="1809" w:type="dxa"/>
          </w:tcPr>
          <w:p w14:paraId="30C9A226" w14:textId="77777777" w:rsidR="00E64E74" w:rsidRPr="00473B9B" w:rsidRDefault="00E64E74" w:rsidP="00E64E74">
            <w:pPr>
              <w:jc w:val="center"/>
              <w:rPr>
                <w:b/>
                <w:bCs/>
              </w:rPr>
            </w:pPr>
          </w:p>
          <w:p w14:paraId="7205C97F" w14:textId="61C07EB4" w:rsidR="00A10A6C" w:rsidRPr="00473B9B" w:rsidRDefault="00A10A6C" w:rsidP="00E64E74">
            <w:pPr>
              <w:jc w:val="center"/>
              <w:rPr>
                <w:b/>
                <w:bCs/>
              </w:rPr>
            </w:pPr>
            <w:r w:rsidRPr="00473B9B">
              <w:rPr>
                <w:b/>
                <w:bCs/>
              </w:rPr>
              <w:t>TOTAL</w:t>
            </w:r>
          </w:p>
          <w:p w14:paraId="4433DEFA" w14:textId="6DA3372B" w:rsidR="00A10A6C" w:rsidRPr="00473B9B" w:rsidRDefault="00A10A6C" w:rsidP="00E64E74">
            <w:pPr>
              <w:jc w:val="center"/>
              <w:rPr>
                <w:b/>
                <w:bCs/>
              </w:rPr>
            </w:pPr>
          </w:p>
        </w:tc>
        <w:tc>
          <w:tcPr>
            <w:tcW w:w="2026" w:type="dxa"/>
          </w:tcPr>
          <w:p w14:paraId="36FEA430" w14:textId="77777777" w:rsidR="00A10A6C" w:rsidRPr="00473B9B" w:rsidRDefault="00A10A6C" w:rsidP="00AF1B6B">
            <w:pPr>
              <w:rPr>
                <w:b/>
                <w:bCs/>
              </w:rPr>
            </w:pPr>
          </w:p>
          <w:p w14:paraId="14FDE8BA" w14:textId="06CA8B44" w:rsidR="00E64E74" w:rsidRPr="00473B9B" w:rsidRDefault="00E64E74" w:rsidP="00E64E74">
            <w:pPr>
              <w:jc w:val="center"/>
              <w:rPr>
                <w:b/>
                <w:bCs/>
              </w:rPr>
            </w:pPr>
            <w:r w:rsidRPr="00473B9B">
              <w:rPr>
                <w:b/>
                <w:bCs/>
              </w:rPr>
              <w:t>₹100000</w:t>
            </w:r>
          </w:p>
        </w:tc>
        <w:tc>
          <w:tcPr>
            <w:tcW w:w="1706" w:type="dxa"/>
          </w:tcPr>
          <w:p w14:paraId="39CD3A87" w14:textId="77777777" w:rsidR="00A10A6C" w:rsidRPr="00473B9B" w:rsidRDefault="00A10A6C" w:rsidP="00E64E74">
            <w:pPr>
              <w:jc w:val="center"/>
              <w:rPr>
                <w:b/>
                <w:bCs/>
              </w:rPr>
            </w:pPr>
          </w:p>
          <w:p w14:paraId="6BD5DB1E" w14:textId="35A32984" w:rsidR="00E64E74" w:rsidRPr="00473B9B" w:rsidRDefault="00E64E74" w:rsidP="00E64E74">
            <w:pPr>
              <w:jc w:val="center"/>
              <w:rPr>
                <w:b/>
                <w:bCs/>
              </w:rPr>
            </w:pPr>
            <w:r w:rsidRPr="00473B9B">
              <w:rPr>
                <w:b/>
                <w:bCs/>
              </w:rPr>
              <w:t>100%</w:t>
            </w:r>
          </w:p>
        </w:tc>
        <w:tc>
          <w:tcPr>
            <w:tcW w:w="1848" w:type="dxa"/>
          </w:tcPr>
          <w:p w14:paraId="21414A7A" w14:textId="77777777" w:rsidR="00A10A6C" w:rsidRPr="00473B9B" w:rsidRDefault="00A10A6C" w:rsidP="00E64E74">
            <w:pPr>
              <w:jc w:val="center"/>
              <w:rPr>
                <w:b/>
                <w:bCs/>
              </w:rPr>
            </w:pPr>
          </w:p>
          <w:p w14:paraId="06440CE8" w14:textId="60D2F71F" w:rsidR="00E64E74" w:rsidRPr="00473B9B" w:rsidRDefault="00E64E74" w:rsidP="00E64E74">
            <w:pPr>
              <w:jc w:val="center"/>
              <w:rPr>
                <w:b/>
                <w:bCs/>
              </w:rPr>
            </w:pPr>
            <w:r w:rsidRPr="00473B9B">
              <w:rPr>
                <w:b/>
                <w:bCs/>
              </w:rPr>
              <w:t>7</w:t>
            </w:r>
          </w:p>
        </w:tc>
        <w:tc>
          <w:tcPr>
            <w:tcW w:w="1655" w:type="dxa"/>
          </w:tcPr>
          <w:p w14:paraId="576D9979" w14:textId="77777777" w:rsidR="00A10A6C" w:rsidRPr="00473B9B" w:rsidRDefault="00A10A6C" w:rsidP="00E64E74">
            <w:pPr>
              <w:jc w:val="center"/>
              <w:rPr>
                <w:b/>
                <w:bCs/>
              </w:rPr>
            </w:pPr>
          </w:p>
          <w:p w14:paraId="7BAFCF42" w14:textId="22A58ACE" w:rsidR="00E64E74" w:rsidRPr="00473B9B" w:rsidRDefault="00E64E74" w:rsidP="00E64E74">
            <w:pPr>
              <w:jc w:val="center"/>
              <w:rPr>
                <w:b/>
                <w:bCs/>
              </w:rPr>
            </w:pPr>
            <w:r w:rsidRPr="00473B9B">
              <w:rPr>
                <w:b/>
                <w:bCs/>
              </w:rPr>
              <w:t>-</w:t>
            </w:r>
          </w:p>
        </w:tc>
      </w:tr>
    </w:tbl>
    <w:p w14:paraId="1537E765" w14:textId="19F9DFAC" w:rsidR="00E64E74" w:rsidRDefault="00E64E74" w:rsidP="00E64E74">
      <w:pPr>
        <w:rPr>
          <w:rFonts w:ascii="Cambria Math" w:hAnsi="Cambria Math"/>
          <w:sz w:val="24"/>
          <w:szCs w:val="24"/>
        </w:rPr>
      </w:pPr>
      <w:r w:rsidRPr="00E64E74">
        <w:rPr>
          <w:rFonts w:ascii="Cambria Math" w:hAnsi="Cambria Math"/>
          <w:sz w:val="24"/>
          <w:szCs w:val="24"/>
        </w:rPr>
        <w:lastRenderedPageBreak/>
        <w:t>The heavier allocation towards stocks reflects the belief that equities remain the most reliable driver of long-term wealth creation. ETFs bring balance to the portfolio offering steady, broad-based exposure without taking on unnecessary risk. Crypto, while kept at a modest 20%, is included for its significant upside potential, with the allocation deliberately capped to ensure it does no</w:t>
      </w:r>
      <w:r w:rsidRPr="00E64E74">
        <w:rPr>
          <w:rFonts w:ascii="Cambria Math" w:hAnsi="Cambria Math"/>
          <w:sz w:val="24"/>
          <w:szCs w:val="24"/>
        </w:rPr>
        <w:t xml:space="preserve">t </w:t>
      </w:r>
      <w:r w:rsidRPr="00E64E74">
        <w:rPr>
          <w:rFonts w:ascii="Cambria Math" w:hAnsi="Cambria Math"/>
          <w:sz w:val="24"/>
          <w:szCs w:val="24"/>
        </w:rPr>
        <w:t>dest</w:t>
      </w:r>
      <w:r w:rsidRPr="00E64E74">
        <w:rPr>
          <w:rFonts w:ascii="Cambria Math" w:hAnsi="Cambria Math"/>
          <w:sz w:val="24"/>
          <w:szCs w:val="24"/>
        </w:rPr>
        <w:t>abilise the overall portfolio.</w:t>
      </w:r>
    </w:p>
    <w:p w14:paraId="5CF34556" w14:textId="699BD2FB" w:rsidR="00E64E74" w:rsidRPr="009F6BCE" w:rsidRDefault="00E64E74" w:rsidP="00E64E74">
      <w:pPr>
        <w:pStyle w:val="Heading1"/>
        <w:numPr>
          <w:ilvl w:val="0"/>
          <w:numId w:val="0"/>
        </w:numPr>
        <w:ind w:left="432" w:hanging="432"/>
        <w:rPr>
          <w:rFonts w:ascii="Times New Roman" w:hAnsi="Times New Roman" w:cs="Times New Roman"/>
          <w:color w:val="2F5496" w:themeColor="accent1" w:themeShade="BF"/>
          <w:sz w:val="32"/>
          <w:szCs w:val="32"/>
        </w:rPr>
      </w:pPr>
      <w:r w:rsidRPr="009F6BCE">
        <w:rPr>
          <w:rFonts w:ascii="Times New Roman" w:hAnsi="Times New Roman" w:cs="Times New Roman"/>
          <w:color w:val="2F5496" w:themeColor="accent1" w:themeShade="BF"/>
          <w:sz w:val="32"/>
          <w:szCs w:val="32"/>
        </w:rPr>
        <w:t>Risk Ma</w:t>
      </w:r>
      <w:r w:rsidR="00473B9B">
        <w:rPr>
          <w:rFonts w:ascii="Times New Roman" w:hAnsi="Times New Roman" w:cs="Times New Roman"/>
          <w:color w:val="2F5496" w:themeColor="accent1" w:themeShade="BF"/>
          <w:sz w:val="32"/>
          <w:szCs w:val="32"/>
        </w:rPr>
        <w:t>n</w:t>
      </w:r>
      <w:r w:rsidRPr="009F6BCE">
        <w:rPr>
          <w:rFonts w:ascii="Times New Roman" w:hAnsi="Times New Roman" w:cs="Times New Roman"/>
          <w:color w:val="2F5496" w:themeColor="accent1" w:themeShade="BF"/>
          <w:sz w:val="32"/>
          <w:szCs w:val="32"/>
        </w:rPr>
        <w:t>agement Strategy</w:t>
      </w:r>
    </w:p>
    <w:p w14:paraId="32E9A04E" w14:textId="77777777" w:rsidR="009F6BCE" w:rsidRDefault="009F6BCE" w:rsidP="009F6BCE">
      <w:pPr>
        <w:rPr>
          <w:rFonts w:ascii="Cambria Math" w:hAnsi="Cambria Math"/>
          <w:sz w:val="24"/>
          <w:szCs w:val="24"/>
        </w:rPr>
      </w:pPr>
      <w:r w:rsidRPr="009F6BCE">
        <w:rPr>
          <w:rFonts w:ascii="Cambria Math" w:hAnsi="Cambria Math"/>
          <w:sz w:val="24"/>
          <w:szCs w:val="24"/>
        </w:rPr>
        <w:t>Risk management was a key consideration in putting this portfolio together. Rather than chasing returns blindly, each allocation decision was made with downside protection in mind.</w:t>
      </w:r>
    </w:p>
    <w:p w14:paraId="108AB704" w14:textId="11AF4403" w:rsidR="009F6BCE" w:rsidRDefault="009F6BCE" w:rsidP="009F6BCE">
      <w:pPr>
        <w:rPr>
          <w:rFonts w:ascii="Cambria Math" w:hAnsi="Cambria Math"/>
          <w:sz w:val="24"/>
          <w:szCs w:val="24"/>
        </w:rPr>
      </w:pPr>
      <w:r w:rsidRPr="009F6BCE">
        <w:rPr>
          <w:rFonts w:ascii="Cambria Math" w:hAnsi="Cambria Math"/>
          <w:b/>
          <w:bCs/>
          <w:sz w:val="24"/>
          <w:szCs w:val="24"/>
        </w:rPr>
        <w:t>Diversification:</w:t>
      </w:r>
      <w:r w:rsidRPr="009F6BCE">
        <w:rPr>
          <w:rFonts w:ascii="Cambria Math" w:hAnsi="Cambria Math"/>
          <w:sz w:val="24"/>
          <w:szCs w:val="24"/>
        </w:rPr>
        <w:t xml:space="preserve"> The portfolio is spread across three fundamentally different asset classes equities, ETFs and crypto. This ensures that a sharp decline in any one segment does not derail the performance of the portfolio as a whole.</w:t>
      </w:r>
    </w:p>
    <w:p w14:paraId="1F48FFEF" w14:textId="783C111B" w:rsidR="009F6BCE" w:rsidRPr="009F6BCE" w:rsidRDefault="009F6BCE" w:rsidP="009F6BCE">
      <w:pPr>
        <w:rPr>
          <w:rFonts w:ascii="Cambria Math" w:hAnsi="Cambria Math"/>
          <w:sz w:val="24"/>
          <w:szCs w:val="24"/>
        </w:rPr>
      </w:pPr>
      <w:r w:rsidRPr="009F6BCE">
        <w:rPr>
          <w:rFonts w:ascii="Cambria Math" w:hAnsi="Cambria Math"/>
          <w:b/>
          <w:bCs/>
          <w:sz w:val="24"/>
          <w:szCs w:val="24"/>
        </w:rPr>
        <w:t>Large-Cap Focus:</w:t>
      </w:r>
      <w:r w:rsidRPr="009F6BCE">
        <w:rPr>
          <w:rFonts w:ascii="Cambria Math" w:hAnsi="Cambria Math"/>
          <w:sz w:val="24"/>
          <w:szCs w:val="24"/>
        </w:rPr>
        <w:t xml:space="preserve"> Every stock selected is a large</w:t>
      </w:r>
      <w:r w:rsidR="00473B9B">
        <w:rPr>
          <w:rFonts w:ascii="Cambria Math" w:hAnsi="Cambria Math"/>
          <w:sz w:val="24"/>
          <w:szCs w:val="24"/>
        </w:rPr>
        <w:t xml:space="preserve"> </w:t>
      </w:r>
      <w:r w:rsidRPr="009F6BCE">
        <w:rPr>
          <w:rFonts w:ascii="Cambria Math" w:hAnsi="Cambria Math"/>
          <w:sz w:val="24"/>
          <w:szCs w:val="24"/>
        </w:rPr>
        <w:t>cap, blue</w:t>
      </w:r>
      <w:r w:rsidR="00473B9B">
        <w:rPr>
          <w:rFonts w:ascii="Cambria Math" w:hAnsi="Cambria Math"/>
          <w:sz w:val="24"/>
          <w:szCs w:val="24"/>
        </w:rPr>
        <w:t xml:space="preserve"> </w:t>
      </w:r>
      <w:r w:rsidRPr="009F6BCE">
        <w:rPr>
          <w:rFonts w:ascii="Cambria Math" w:hAnsi="Cambria Math"/>
          <w:sz w:val="24"/>
          <w:szCs w:val="24"/>
        </w:rPr>
        <w:t xml:space="preserve">chip company with a </w:t>
      </w:r>
      <w:proofErr w:type="spellStart"/>
      <w:proofErr w:type="gramStart"/>
      <w:r w:rsidRPr="009F6BCE">
        <w:rPr>
          <w:rFonts w:ascii="Cambria Math" w:hAnsi="Cambria Math"/>
          <w:sz w:val="24"/>
          <w:szCs w:val="24"/>
        </w:rPr>
        <w:t>well</w:t>
      </w:r>
      <w:r w:rsidR="00473B9B">
        <w:rPr>
          <w:rFonts w:ascii="Cambria Math" w:hAnsi="Cambria Math"/>
          <w:sz w:val="24"/>
          <w:szCs w:val="24"/>
        </w:rPr>
        <w:t xml:space="preserve"> </w:t>
      </w:r>
      <w:r w:rsidRPr="009F6BCE">
        <w:rPr>
          <w:rFonts w:ascii="Cambria Math" w:hAnsi="Cambria Math"/>
          <w:sz w:val="24"/>
          <w:szCs w:val="24"/>
        </w:rPr>
        <w:t>established</w:t>
      </w:r>
      <w:proofErr w:type="spellEnd"/>
      <w:proofErr w:type="gramEnd"/>
      <w:r w:rsidRPr="009F6BCE">
        <w:rPr>
          <w:rFonts w:ascii="Cambria Math" w:hAnsi="Cambria Math"/>
          <w:sz w:val="24"/>
          <w:szCs w:val="24"/>
        </w:rPr>
        <w:t xml:space="preserve"> track record. This significantly reduces the likelihood of sudden or severe value erosion compared to mid or small</w:t>
      </w:r>
      <w:r w:rsidR="00473B9B">
        <w:rPr>
          <w:rFonts w:ascii="Cambria Math" w:hAnsi="Cambria Math"/>
          <w:sz w:val="24"/>
          <w:szCs w:val="24"/>
        </w:rPr>
        <w:t xml:space="preserve"> </w:t>
      </w:r>
      <w:r w:rsidRPr="009F6BCE">
        <w:rPr>
          <w:rFonts w:ascii="Cambria Math" w:hAnsi="Cambria Math"/>
          <w:sz w:val="24"/>
          <w:szCs w:val="24"/>
        </w:rPr>
        <w:t>cap alternatives.</w:t>
      </w:r>
    </w:p>
    <w:p w14:paraId="4E8F32B0" w14:textId="77777777" w:rsidR="009F6BCE" w:rsidRPr="009F6BCE" w:rsidRDefault="009F6BCE" w:rsidP="009F6BCE">
      <w:pPr>
        <w:rPr>
          <w:rFonts w:ascii="Cambria Math" w:hAnsi="Cambria Math"/>
          <w:sz w:val="24"/>
          <w:szCs w:val="24"/>
        </w:rPr>
      </w:pPr>
      <w:r w:rsidRPr="009F6BCE">
        <w:rPr>
          <w:rFonts w:ascii="Cambria Math" w:hAnsi="Cambria Math"/>
          <w:b/>
          <w:bCs/>
          <w:sz w:val="24"/>
          <w:szCs w:val="24"/>
        </w:rPr>
        <w:t>ETF Cushion:</w:t>
      </w:r>
      <w:r w:rsidRPr="009F6BCE">
        <w:rPr>
          <w:rFonts w:ascii="Cambria Math" w:hAnsi="Cambria Math"/>
          <w:sz w:val="24"/>
          <w:szCs w:val="24"/>
        </w:rPr>
        <w:t xml:space="preserve"> The 30% allocated to ETFs acts as a buffer within the portfolio. The Nifty 50 ETF provides broad market participation, while the Gold ETF steps in as a reliable safe haven during periods of heightened market volatility.</w:t>
      </w:r>
    </w:p>
    <w:p w14:paraId="5B065C74" w14:textId="17D258B6" w:rsidR="009F6BCE" w:rsidRDefault="009F6BCE" w:rsidP="009F6BCE">
      <w:pPr>
        <w:rPr>
          <w:rFonts w:ascii="Cambria Math" w:hAnsi="Cambria Math"/>
          <w:sz w:val="24"/>
          <w:szCs w:val="24"/>
        </w:rPr>
      </w:pPr>
      <w:r w:rsidRPr="009F6BCE">
        <w:rPr>
          <w:rFonts w:ascii="Cambria Math" w:hAnsi="Cambria Math"/>
          <w:b/>
          <w:bCs/>
          <w:sz w:val="24"/>
          <w:szCs w:val="24"/>
        </w:rPr>
        <w:t>Crypto Cap:</w:t>
      </w:r>
      <w:r w:rsidRPr="009F6BCE">
        <w:rPr>
          <w:rFonts w:ascii="Cambria Math" w:hAnsi="Cambria Math"/>
          <w:sz w:val="24"/>
          <w:szCs w:val="24"/>
        </w:rPr>
        <w:t xml:space="preserve"> Crypto allocation has been deliberately kept at 20% of the total corpus. Even in an extreme scenario where crypto prices fall by 50%, the overall impact on the portfolio would be limited to just 10</w:t>
      </w:r>
      <w:proofErr w:type="gramStart"/>
      <w:r w:rsidRPr="009F6BCE">
        <w:rPr>
          <w:rFonts w:ascii="Cambria Math" w:hAnsi="Cambria Math"/>
          <w:sz w:val="24"/>
          <w:szCs w:val="24"/>
        </w:rPr>
        <w:t>%  a</w:t>
      </w:r>
      <w:proofErr w:type="gramEnd"/>
      <w:r w:rsidRPr="009F6BCE">
        <w:rPr>
          <w:rFonts w:ascii="Cambria Math" w:hAnsi="Cambria Math"/>
          <w:sz w:val="24"/>
          <w:szCs w:val="24"/>
        </w:rPr>
        <w:t xml:space="preserve"> manageable and acceptable level of loss.</w:t>
      </w:r>
    </w:p>
    <w:p w14:paraId="178B992C" w14:textId="7649CC21" w:rsidR="009F6BCE" w:rsidRDefault="00473B9B" w:rsidP="009F6BCE">
      <w:pPr>
        <w:pStyle w:val="Heading1"/>
        <w:numPr>
          <w:ilvl w:val="0"/>
          <w:numId w:val="0"/>
        </w:num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Conclusion</w:t>
      </w:r>
    </w:p>
    <w:p w14:paraId="6F216C1D" w14:textId="3FC76B14" w:rsidR="00473B9B" w:rsidRPr="00473B9B" w:rsidRDefault="00473B9B" w:rsidP="00473B9B">
      <w:pPr>
        <w:rPr>
          <w:rFonts w:ascii="Cambria Math" w:hAnsi="Cambria Math"/>
          <w:sz w:val="24"/>
          <w:szCs w:val="24"/>
        </w:rPr>
      </w:pPr>
      <w:r w:rsidRPr="00473B9B">
        <w:rPr>
          <w:rFonts w:ascii="Cambria Math" w:hAnsi="Cambria Math"/>
          <w:sz w:val="24"/>
          <w:szCs w:val="24"/>
        </w:rPr>
        <w:t>This hypothetical portfolio of Rs.1,00,000 has been put together with one clear goal in mind to grow wealth steadily without taking on unnecessary risk. The allocation across stocks, ETFs and crypto has been carefully thought through, ensuring that each asset class plays a specific role equities drive growth, ETFs provide stability and crypto adds high</w:t>
      </w:r>
      <w:r>
        <w:rPr>
          <w:rFonts w:ascii="Cambria Math" w:hAnsi="Cambria Math"/>
          <w:sz w:val="24"/>
          <w:szCs w:val="24"/>
        </w:rPr>
        <w:t xml:space="preserve"> </w:t>
      </w:r>
      <w:r w:rsidRPr="00473B9B">
        <w:rPr>
          <w:rFonts w:ascii="Cambria Math" w:hAnsi="Cambria Math"/>
          <w:sz w:val="24"/>
          <w:szCs w:val="24"/>
        </w:rPr>
        <w:t>upside potential within a controlled boundary.</w:t>
      </w:r>
    </w:p>
    <w:p w14:paraId="703D87B3" w14:textId="29A92146" w:rsidR="00473B9B" w:rsidRPr="00473B9B" w:rsidRDefault="00473B9B" w:rsidP="00473B9B">
      <w:pPr>
        <w:rPr>
          <w:rFonts w:ascii="Cambria Math" w:hAnsi="Cambria Math"/>
          <w:sz w:val="24"/>
          <w:szCs w:val="24"/>
        </w:rPr>
      </w:pPr>
      <w:r w:rsidRPr="00473B9B">
        <w:rPr>
          <w:rFonts w:ascii="Cambria Math" w:hAnsi="Cambria Math"/>
          <w:sz w:val="24"/>
          <w:szCs w:val="24"/>
        </w:rPr>
        <w:t>For a first-time investor, this kind of diversified approach offers a sensible starting point. It avoids over</w:t>
      </w:r>
      <w:r>
        <w:rPr>
          <w:rFonts w:ascii="Cambria Math" w:hAnsi="Cambria Math"/>
          <w:sz w:val="24"/>
          <w:szCs w:val="24"/>
        </w:rPr>
        <w:t xml:space="preserve"> </w:t>
      </w:r>
      <w:r w:rsidRPr="00473B9B">
        <w:rPr>
          <w:rFonts w:ascii="Cambria Math" w:hAnsi="Cambria Math"/>
          <w:sz w:val="24"/>
          <w:szCs w:val="24"/>
        </w:rPr>
        <w:t>concentration in any single asset, keeps risk at a moderate level and still leaves room for meaningful returns over a 3 to 5year horizon. That said, no investment is without risk, and it is always important to only commit capital that one is genuinely prepared to lose</w:t>
      </w:r>
    </w:p>
    <w:p w14:paraId="5B6BFC1B" w14:textId="77777777" w:rsidR="009F6BCE" w:rsidRPr="009F6BCE" w:rsidRDefault="009F6BCE" w:rsidP="009F6BCE"/>
    <w:sectPr w:rsidR="009F6BCE" w:rsidRPr="009F6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1707" w:hanging="432"/>
      </w:pPr>
    </w:lvl>
    <w:lvl w:ilvl="1">
      <w:start w:val="1"/>
      <w:numFmt w:val="decimal"/>
      <w:pStyle w:val="Heading2"/>
      <w:lvlText w:val="%1.%2"/>
      <w:lvlJc w:val="left"/>
      <w:pPr>
        <w:ind w:left="1568" w:hanging="576"/>
      </w:pPr>
    </w:lvl>
    <w:lvl w:ilvl="2">
      <w:start w:val="1"/>
      <w:numFmt w:val="decimal"/>
      <w:pStyle w:val="Heading3"/>
      <w:lvlText w:val="%1.%2.%3"/>
      <w:lvlJc w:val="left"/>
      <w:pPr>
        <w:ind w:left="1712" w:hanging="720"/>
      </w:pPr>
    </w:lvl>
    <w:lvl w:ilvl="3">
      <w:start w:val="1"/>
      <w:numFmt w:val="decimal"/>
      <w:pStyle w:val="Heading4"/>
      <w:lvlText w:val="%1.%2.%3.%4"/>
      <w:lvlJc w:val="left"/>
      <w:pPr>
        <w:ind w:left="1856" w:hanging="864"/>
      </w:pPr>
    </w:lvl>
    <w:lvl w:ilvl="4">
      <w:start w:val="1"/>
      <w:numFmt w:val="decimal"/>
      <w:pStyle w:val="Heading5"/>
      <w:lvlText w:val="%1.%2.%3.%4.%5"/>
      <w:lvlJc w:val="left"/>
      <w:pPr>
        <w:ind w:left="2000" w:hanging="1008"/>
      </w:pPr>
    </w:lvl>
    <w:lvl w:ilvl="5">
      <w:start w:val="1"/>
      <w:numFmt w:val="decimal"/>
      <w:pStyle w:val="Heading6"/>
      <w:lvlText w:val="%1.%2.%3.%4.%5.%6"/>
      <w:lvlJc w:val="left"/>
      <w:pPr>
        <w:ind w:left="2144" w:hanging="1152"/>
      </w:pPr>
    </w:lvl>
    <w:lvl w:ilvl="6">
      <w:start w:val="1"/>
      <w:numFmt w:val="decimal"/>
      <w:pStyle w:val="Heading7"/>
      <w:lvlText w:val="%1.%2.%3.%4.%5.%6.%7"/>
      <w:lvlJc w:val="left"/>
      <w:pPr>
        <w:ind w:left="2288" w:hanging="1296"/>
      </w:pPr>
    </w:lvl>
    <w:lvl w:ilvl="7">
      <w:start w:val="1"/>
      <w:numFmt w:val="decimal"/>
      <w:pStyle w:val="Heading8"/>
      <w:lvlText w:val="%1.%2.%3.%4.%5.%6.%7.%8"/>
      <w:lvlJc w:val="left"/>
      <w:pPr>
        <w:ind w:left="2432" w:hanging="1440"/>
      </w:pPr>
    </w:lvl>
    <w:lvl w:ilvl="8">
      <w:start w:val="1"/>
      <w:numFmt w:val="decimal"/>
      <w:pStyle w:val="Heading9"/>
      <w:lvlText w:val="%1.%2.%3.%4.%5.%6.%7.%8.%9"/>
      <w:lvlJc w:val="left"/>
      <w:pPr>
        <w:ind w:left="2576" w:hanging="1584"/>
      </w:pPr>
    </w:lvl>
  </w:abstractNum>
  <w:abstractNum w:abstractNumId="1" w15:restartNumberingAfterBreak="0">
    <w:nsid w:val="19010035"/>
    <w:multiLevelType w:val="hybridMultilevel"/>
    <w:tmpl w:val="61DE11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6F2E"/>
    <w:multiLevelType w:val="multilevel"/>
    <w:tmpl w:val="12BC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466B7"/>
    <w:multiLevelType w:val="multilevel"/>
    <w:tmpl w:val="90D2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911839">
    <w:abstractNumId w:val="1"/>
  </w:num>
  <w:num w:numId="2" w16cid:durableId="863904013">
    <w:abstractNumId w:val="0"/>
  </w:num>
  <w:num w:numId="3" w16cid:durableId="1896119532">
    <w:abstractNumId w:val="0"/>
  </w:num>
  <w:num w:numId="4" w16cid:durableId="981809689">
    <w:abstractNumId w:val="0"/>
  </w:num>
  <w:num w:numId="5" w16cid:durableId="2099016382">
    <w:abstractNumId w:val="0"/>
  </w:num>
  <w:num w:numId="6" w16cid:durableId="478153214">
    <w:abstractNumId w:val="0"/>
  </w:num>
  <w:num w:numId="7" w16cid:durableId="1435973801">
    <w:abstractNumId w:val="0"/>
  </w:num>
  <w:num w:numId="8" w16cid:durableId="269705064">
    <w:abstractNumId w:val="0"/>
  </w:num>
  <w:num w:numId="9" w16cid:durableId="954825478">
    <w:abstractNumId w:val="0"/>
  </w:num>
  <w:num w:numId="10" w16cid:durableId="1589852312">
    <w:abstractNumId w:val="0"/>
  </w:num>
  <w:num w:numId="11" w16cid:durableId="1568343098">
    <w:abstractNumId w:val="0"/>
  </w:num>
  <w:num w:numId="12" w16cid:durableId="786583740">
    <w:abstractNumId w:val="0"/>
  </w:num>
  <w:num w:numId="13" w16cid:durableId="2084134828">
    <w:abstractNumId w:val="0"/>
  </w:num>
  <w:num w:numId="14" w16cid:durableId="1616592365">
    <w:abstractNumId w:val="0"/>
  </w:num>
  <w:num w:numId="15" w16cid:durableId="1929531881">
    <w:abstractNumId w:val="0"/>
  </w:num>
  <w:num w:numId="16" w16cid:durableId="1228153083">
    <w:abstractNumId w:val="0"/>
  </w:num>
  <w:num w:numId="17" w16cid:durableId="119880553">
    <w:abstractNumId w:val="0"/>
  </w:num>
  <w:num w:numId="18" w16cid:durableId="476578366">
    <w:abstractNumId w:val="0"/>
  </w:num>
  <w:num w:numId="19" w16cid:durableId="1503933262">
    <w:abstractNumId w:val="0"/>
  </w:num>
  <w:num w:numId="20" w16cid:durableId="1984846301">
    <w:abstractNumId w:val="0"/>
  </w:num>
  <w:num w:numId="21" w16cid:durableId="2066679152">
    <w:abstractNumId w:val="0"/>
  </w:num>
  <w:num w:numId="22" w16cid:durableId="1081562661">
    <w:abstractNumId w:val="0"/>
  </w:num>
  <w:num w:numId="23" w16cid:durableId="1608346427">
    <w:abstractNumId w:val="0"/>
  </w:num>
  <w:num w:numId="24" w16cid:durableId="1259679785">
    <w:abstractNumId w:val="0"/>
  </w:num>
  <w:num w:numId="25" w16cid:durableId="931277722">
    <w:abstractNumId w:val="0"/>
  </w:num>
  <w:num w:numId="26" w16cid:durableId="67725803">
    <w:abstractNumId w:val="0"/>
  </w:num>
  <w:num w:numId="27" w16cid:durableId="1952011132">
    <w:abstractNumId w:val="0"/>
  </w:num>
  <w:num w:numId="28" w16cid:durableId="1995521170">
    <w:abstractNumId w:val="0"/>
  </w:num>
  <w:num w:numId="29" w16cid:durableId="1373380600">
    <w:abstractNumId w:val="0"/>
  </w:num>
  <w:num w:numId="30" w16cid:durableId="1789278044">
    <w:abstractNumId w:val="0"/>
  </w:num>
  <w:num w:numId="31" w16cid:durableId="1950235257">
    <w:abstractNumId w:val="0"/>
  </w:num>
  <w:num w:numId="32" w16cid:durableId="114637962">
    <w:abstractNumId w:val="3"/>
  </w:num>
  <w:num w:numId="33" w16cid:durableId="1778214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89D"/>
    <w:rsid w:val="00473B9B"/>
    <w:rsid w:val="006D160A"/>
    <w:rsid w:val="007B0A24"/>
    <w:rsid w:val="0094489D"/>
    <w:rsid w:val="009F6BCE"/>
    <w:rsid w:val="00A10A6C"/>
    <w:rsid w:val="00AF1B6B"/>
    <w:rsid w:val="00BA6E5B"/>
    <w:rsid w:val="00BE6653"/>
    <w:rsid w:val="00BE706A"/>
    <w:rsid w:val="00D17D21"/>
    <w:rsid w:val="00E64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C167"/>
  <w15:chartTrackingRefBased/>
  <w15:docId w15:val="{8BB54470-0EB8-42C9-A098-8BAB2813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89D"/>
  </w:style>
  <w:style w:type="paragraph" w:styleId="Heading1">
    <w:name w:val="heading 1"/>
    <w:basedOn w:val="Normal"/>
    <w:next w:val="Normal"/>
    <w:link w:val="Heading1Char"/>
    <w:uiPriority w:val="9"/>
    <w:qFormat/>
    <w:rsid w:val="0094489D"/>
    <w:pPr>
      <w:keepNext/>
      <w:keepLines/>
      <w:numPr>
        <w:numId w:val="3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94489D"/>
    <w:pPr>
      <w:keepNext/>
      <w:keepLines/>
      <w:numPr>
        <w:ilvl w:val="1"/>
        <w:numId w:val="3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94489D"/>
    <w:pPr>
      <w:keepNext/>
      <w:keepLines/>
      <w:numPr>
        <w:ilvl w:val="2"/>
        <w:numId w:val="3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4489D"/>
    <w:pPr>
      <w:keepNext/>
      <w:keepLines/>
      <w:numPr>
        <w:ilvl w:val="3"/>
        <w:numId w:val="3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4489D"/>
    <w:pPr>
      <w:keepNext/>
      <w:keepLines/>
      <w:numPr>
        <w:ilvl w:val="4"/>
        <w:numId w:val="3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94489D"/>
    <w:pPr>
      <w:keepNext/>
      <w:keepLines/>
      <w:numPr>
        <w:ilvl w:val="5"/>
        <w:numId w:val="3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94489D"/>
    <w:pPr>
      <w:keepNext/>
      <w:keepLines/>
      <w:numPr>
        <w:ilvl w:val="6"/>
        <w:numId w:val="3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4489D"/>
    <w:pPr>
      <w:keepNext/>
      <w:keepLines/>
      <w:numPr>
        <w:ilvl w:val="7"/>
        <w:numId w:val="3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4489D"/>
    <w:pPr>
      <w:keepNext/>
      <w:keepLines/>
      <w:numPr>
        <w:ilvl w:val="8"/>
        <w:numId w:val="3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89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94489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94489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94489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4489D"/>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4489D"/>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4489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4489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4489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4489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4489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4489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4489D"/>
    <w:rPr>
      <w:color w:val="5A5A5A" w:themeColor="text1" w:themeTint="A5"/>
      <w:spacing w:val="10"/>
    </w:rPr>
  </w:style>
  <w:style w:type="paragraph" w:styleId="Quote">
    <w:name w:val="Quote"/>
    <w:basedOn w:val="Normal"/>
    <w:next w:val="Normal"/>
    <w:link w:val="QuoteChar"/>
    <w:uiPriority w:val="29"/>
    <w:qFormat/>
    <w:rsid w:val="0094489D"/>
    <w:pPr>
      <w:spacing w:before="160"/>
      <w:ind w:left="720" w:right="720"/>
    </w:pPr>
    <w:rPr>
      <w:i/>
      <w:iCs/>
      <w:color w:val="000000" w:themeColor="text1"/>
    </w:rPr>
  </w:style>
  <w:style w:type="character" w:customStyle="1" w:styleId="QuoteChar">
    <w:name w:val="Quote Char"/>
    <w:basedOn w:val="DefaultParagraphFont"/>
    <w:link w:val="Quote"/>
    <w:uiPriority w:val="29"/>
    <w:rsid w:val="0094489D"/>
    <w:rPr>
      <w:i/>
      <w:iCs/>
      <w:color w:val="000000" w:themeColor="text1"/>
    </w:rPr>
  </w:style>
  <w:style w:type="paragraph" w:styleId="ListParagraph">
    <w:name w:val="List Paragraph"/>
    <w:basedOn w:val="Normal"/>
    <w:uiPriority w:val="34"/>
    <w:qFormat/>
    <w:rsid w:val="0094489D"/>
    <w:pPr>
      <w:ind w:left="720"/>
      <w:contextualSpacing/>
    </w:pPr>
  </w:style>
  <w:style w:type="character" w:styleId="IntenseEmphasis">
    <w:name w:val="Intense Emphasis"/>
    <w:basedOn w:val="DefaultParagraphFont"/>
    <w:uiPriority w:val="21"/>
    <w:qFormat/>
    <w:rsid w:val="0094489D"/>
    <w:rPr>
      <w:b/>
      <w:bCs/>
      <w:i/>
      <w:iCs/>
      <w:caps/>
    </w:rPr>
  </w:style>
  <w:style w:type="paragraph" w:styleId="IntenseQuote">
    <w:name w:val="Intense Quote"/>
    <w:basedOn w:val="Normal"/>
    <w:next w:val="Normal"/>
    <w:link w:val="IntenseQuoteChar"/>
    <w:uiPriority w:val="30"/>
    <w:qFormat/>
    <w:rsid w:val="0094489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4489D"/>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94489D"/>
    <w:rPr>
      <w:b/>
      <w:bCs/>
      <w:smallCaps/>
      <w:u w:val="single"/>
    </w:rPr>
  </w:style>
  <w:style w:type="character" w:styleId="SubtleReference">
    <w:name w:val="Subtle Reference"/>
    <w:basedOn w:val="DefaultParagraphFont"/>
    <w:uiPriority w:val="31"/>
    <w:qFormat/>
    <w:rsid w:val="0094489D"/>
    <w:rPr>
      <w:smallCaps/>
      <w:color w:val="404040" w:themeColor="text1" w:themeTint="BF"/>
      <w:u w:val="single" w:color="7F7F7F" w:themeColor="text1" w:themeTint="80"/>
    </w:rPr>
  </w:style>
  <w:style w:type="paragraph" w:styleId="Caption">
    <w:name w:val="caption"/>
    <w:basedOn w:val="Normal"/>
    <w:next w:val="Normal"/>
    <w:uiPriority w:val="35"/>
    <w:semiHidden/>
    <w:unhideWhenUsed/>
    <w:qFormat/>
    <w:rsid w:val="0094489D"/>
    <w:pPr>
      <w:spacing w:after="200" w:line="240" w:lineRule="auto"/>
    </w:pPr>
    <w:rPr>
      <w:i/>
      <w:iCs/>
      <w:color w:val="44546A" w:themeColor="text2"/>
      <w:sz w:val="18"/>
      <w:szCs w:val="18"/>
    </w:rPr>
  </w:style>
  <w:style w:type="character" w:styleId="Strong">
    <w:name w:val="Strong"/>
    <w:basedOn w:val="DefaultParagraphFont"/>
    <w:uiPriority w:val="22"/>
    <w:qFormat/>
    <w:rsid w:val="0094489D"/>
    <w:rPr>
      <w:b/>
      <w:bCs/>
      <w:color w:val="000000" w:themeColor="text1"/>
    </w:rPr>
  </w:style>
  <w:style w:type="character" w:styleId="Emphasis">
    <w:name w:val="Emphasis"/>
    <w:basedOn w:val="DefaultParagraphFont"/>
    <w:uiPriority w:val="20"/>
    <w:qFormat/>
    <w:rsid w:val="0094489D"/>
    <w:rPr>
      <w:i/>
      <w:iCs/>
      <w:color w:val="auto"/>
    </w:rPr>
  </w:style>
  <w:style w:type="paragraph" w:styleId="NoSpacing">
    <w:name w:val="No Spacing"/>
    <w:uiPriority w:val="1"/>
    <w:qFormat/>
    <w:rsid w:val="0094489D"/>
    <w:pPr>
      <w:spacing w:after="0" w:line="240" w:lineRule="auto"/>
    </w:pPr>
  </w:style>
  <w:style w:type="character" w:styleId="SubtleEmphasis">
    <w:name w:val="Subtle Emphasis"/>
    <w:basedOn w:val="DefaultParagraphFont"/>
    <w:uiPriority w:val="19"/>
    <w:qFormat/>
    <w:rsid w:val="0094489D"/>
    <w:rPr>
      <w:i/>
      <w:iCs/>
      <w:color w:val="404040" w:themeColor="text1" w:themeTint="BF"/>
    </w:rPr>
  </w:style>
  <w:style w:type="character" w:styleId="BookTitle">
    <w:name w:val="Book Title"/>
    <w:basedOn w:val="DefaultParagraphFont"/>
    <w:uiPriority w:val="33"/>
    <w:qFormat/>
    <w:rsid w:val="0094489D"/>
    <w:rPr>
      <w:b w:val="0"/>
      <w:bCs w:val="0"/>
      <w:smallCaps/>
      <w:spacing w:val="5"/>
    </w:rPr>
  </w:style>
  <w:style w:type="paragraph" w:styleId="TOCHeading">
    <w:name w:val="TOC Heading"/>
    <w:basedOn w:val="Heading1"/>
    <w:next w:val="Normal"/>
    <w:uiPriority w:val="39"/>
    <w:semiHidden/>
    <w:unhideWhenUsed/>
    <w:qFormat/>
    <w:rsid w:val="0094489D"/>
    <w:pPr>
      <w:outlineLvl w:val="9"/>
    </w:pPr>
  </w:style>
  <w:style w:type="table" w:styleId="TableGrid">
    <w:name w:val="Table Grid"/>
    <w:basedOn w:val="TableNormal"/>
    <w:uiPriority w:val="39"/>
    <w:rsid w:val="00AF1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Vedanshi Singh</dc:creator>
  <cp:keywords/>
  <dc:description/>
  <cp:lastModifiedBy>Vedanshi Singh</cp:lastModifiedBy>
  <cp:revision>1</cp:revision>
  <dcterms:created xsi:type="dcterms:W3CDTF">2026-05-18T23:26:00Z</dcterms:created>
  <dcterms:modified xsi:type="dcterms:W3CDTF">2026-05-19T00:26:00Z</dcterms:modified>
</cp:coreProperties>
</file>