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Ahmed Chauhan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ahmedchauhan12@gmail.com • 919.555.0136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AI/ML Engineer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MLOps</w:t>
      </w:r>
      <w:r>
        <w:rPr>
          <w:rFonts w:ascii="Calibri" w:hAnsi="Calibri" w:eastAsia="Calibri"/>
          <w:b w:val="0"/>
          <w:sz w:val="21"/>
        </w:rPr>
        <w:t xml:space="preserve">: CI/CD for ML, model registry, monitoring and A/B rollout using </w:t>
      </w:r>
      <w:r>
        <w:rPr>
          <w:rFonts w:ascii="Calibri" w:hAnsi="Calibri" w:eastAsia="Calibri"/>
          <w:b/>
          <w:sz w:val="21"/>
        </w:rPr>
        <w:t>MLflow, Kubeflow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Bash | Java (basic) | TensorFlow | Keras | PyTorch | Hugging Face Transformers | ONNX | OpenCV | LangChain | LlamaIndex | OpenAI API | RAG | Fine-tuning (LoRA) | MLflow | Kubeflow | Vertex AI | DVC | Docker | Terraform | AWS | GCP | Spark | Pandas | NumPy | Kafka | PostgreSQL | MongoDB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Granite Health – Milwaukee, Wisconsin</w:t>
        <w:tab/>
        <w:t>09/2026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Hugging Face, AWS SageMaker, Python, MLflow, PyTorch, Spark, Docker, TensorFlow, Terraform, FAISS, Prometheus,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Silverline Interactive – Tampa, Florida</w:t>
        <w:tab/>
        <w:t>04/2026 – 08/2026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Hugging Face, FastAPI, Docker, Prometheus, MLflow, Terraform, AWS SageMaker, Git, FAISS, Triton Inference Server,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Evergreen Systems – Orlando, Florida</w:t>
        <w:tab/>
        <w:t>08/2019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MLflow, TensorFlow, Terraform, FAISS, Python, PyTorch, Docker, Kubernetes, gRPC, Spark, Hugging Face Transformers, Pinecone.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Crestview Group – Baltimore, Maryland</w:t>
        <w:tab/>
        <w:t>10/2017 – 07/2019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Kubernetes, Prometheus, Airflow, Hugging Face, TensorFlow, AWS SageMaker, PyTorch, MLflow, FAISS, Keras, SQL,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Ahmed Chauhan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