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Ahmed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Omaha, NE • adeshmukh89@gmail.com • 617.555.0186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BI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SSAS tabular/multidimensional</w:t>
      </w:r>
      <w:r>
        <w:rPr>
          <w:rFonts w:ascii="Calibri" w:hAnsi="Calibri" w:eastAsia="Calibri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enterprise reports with </w:t>
      </w:r>
      <w:r>
        <w:rPr>
          <w:rFonts w:ascii="Calibri" w:hAnsi="Calibri" w:eastAsia="Calibri"/>
          <w:b/>
          <w:sz w:val="21"/>
        </w:rPr>
        <w:t>SSRS, Cognos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MicroStrategy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 xml:space="preserve"> (DAX, Power Query, row-level security)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dashboard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Tableau | MicroStrategy | Looker | SQL | DAX | MDX | Python | Power Query (M) | Azure Data Factory | Alteryx | SQL Server | Oracle | Synapse | Redshift | Teradata | Snowflake Schema | SCD Types | OLAP Cubes | SSAS | Git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Beacon Health – Omaha, Nebraska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Synapse, Snowflake, SSRS, Excel, Git, SSAS, SSIS, DAX, Power BI, Power Query (M), Azure Data Factory, Power Query, QlikView.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Atlas Retail Group – Jersey City, New Jersey</w:t>
        <w:tab/>
        <w:t>06/2020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SSRS, Power BI, SSAS, SQL Server, Tableau, Azure Synapse, Azure Data Factory, Azure DevOps, Git, OLAP Cubes.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Trident Systems – Jacksonville, Florida</w:t>
        <w:tab/>
        <w:t>10/2019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Snowflake, SSRS, Excel, DAX, Tableau, Power BI, SQL Server, SSIS, Teradata, Azure Synapse.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Ahmed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