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Ahmed Martin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ahmedmartin43@gmail.com • 408.555.0198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DevOps Engineer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Provisioned infrastructure as code with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CloudFormation</w:t>
      </w:r>
      <w:r>
        <w:rPr>
          <w:rFonts w:ascii="Calibri" w:hAnsi="Calibri" w:eastAsia="Calibri"/>
          <w:b w:val="0"/>
          <w:sz w:val="21"/>
        </w:rPr>
        <w:t xml:space="preserve">; configuration management with </w:t>
      </w:r>
      <w:r>
        <w:rPr>
          <w:rFonts w:ascii="Calibri" w:hAnsi="Calibri" w:eastAsia="Calibri"/>
          <w:b/>
          <w:sz w:val="21"/>
        </w:rPr>
        <w:t>Ansible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Bash, 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Azure Pipelines | CloudFormation | Packer | Docker | Kubernetes | Helm | Docker Compose | OpenShift | Prometheus | Splunk | Datadog | Nagios | Bash | Python | PowerShell | Groovy | SonarQube | HashiCorp Vault | IAM Policies | SSL/TLS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Redwood Systems – Atlanta, Georgia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ArgoCD, Python, Ansible, SonarQube, Jenkins, Vault, Helm, Prometheus, Grafana, Kubernetes, GCP (basic),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Falcon Group – Raleigh, North Carolina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Vault, Prometheus, Jenkins, GitLab CI, AWS, Bash, Python, Kubernetes, GCP (basic), Datadog.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Ahmed Martin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