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Ashley Krishnan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Pittsburgh, PA • ashley.krishnan28@yahoo.com • 212.555.0175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SQL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SQL Agent jobs</w:t>
      </w:r>
      <w:r>
        <w:rPr>
          <w:rFonts w:ascii="Calibri" w:hAnsi="Calibri" w:eastAsia="Calibri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SQL Server 2012/2016/2019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Oracle 11g/12c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SSRS</w:t>
      </w:r>
      <w:r>
        <w:rPr>
          <w:rFonts w:ascii="Calibri" w:hAnsi="Calibri" w:eastAsia="Calibri"/>
          <w:b w:val="0"/>
          <w:sz w:val="21"/>
        </w:rPr>
        <w:t xml:space="preserve"> reports including parameterized, drill-down and sub-reports.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2012/2016/2019 | Oracle 11g/12c | PostgreSQL | MySQL | Azure SQL | DB2 | T-SQL | PL/SQL | C# | Python | PowerShell | SSIS | SSRS | SSAS | Crystal Reports | Informatica | SSMS | SQL Profiler | Query Store | TOAD | Redgate SQL Compare | Visual Studio | Azure Data Studio | Normalization | Indexing | Data Warehousing | Star Schema | OLTP/OLAP | Data Migration | Git | TFS | Azure DevOps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SQL Developer</w:t>
      </w:r>
      <w:r>
        <w:rPr>
          <w:rFonts w:ascii="Calibri" w:hAnsi="Calibri" w:eastAsia="Calibri"/>
          <w:b w:val="0"/>
          <w:sz w:val="21"/>
        </w:rPr>
        <w:t>, Keystone Solutions – Pittsburgh, Pennsylvania</w:t>
        <w:tab/>
        <w:t>06/2022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PowerShell, SSMS, Azure SQL, SSIS, Oracle, SSRS, PL/SQL, T-SQL, Azure DevOps, Oracle 11g/12c, Crystal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Keystone Group – Durham, North Carolina</w:t>
        <w:tab/>
        <w:t>04/2022 – 05/2022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Oracle, SSAS, TOAD, SSMS, Azure DevOps, T-SQL, SSRS, Azure SQL, Normalization, Python, Oracle 11g/12c.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Crestview Interactive – Reston, Virginia</w:t>
        <w:tab/>
        <w:t>10/2018 – 03/2022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SSIS, SSAS, PowerShell, SSMS, TOAD, SQL Server, Azure DevOps, Git, TFS, SQL Server 2012/2016/2019, Azure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Savitribai Phule Pune University, Pune,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Ashley Krishnan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