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Nair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brian.nair19@gmail.com • 972.555.0140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Cybersecurity Analyst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vulnerability assessments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Nessus, Qualys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Rapid7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understanding of </w:t>
      </w:r>
      <w:r>
        <w:rPr>
          <w:rFonts w:ascii="Calibri" w:hAnsi="Calibri" w:eastAsia="Calibri"/>
          <w:b/>
          <w:sz w:val="21"/>
        </w:rPr>
        <w:t>network security</w:t>
      </w:r>
      <w:r>
        <w:rPr>
          <w:rFonts w:ascii="Calibri" w:hAnsi="Calibri" w:eastAsia="Calibri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Conducted </w:t>
      </w:r>
      <w:r>
        <w:rPr>
          <w:rFonts w:ascii="Calibri" w:hAnsi="Calibri" w:eastAsia="Calibri"/>
          <w:b/>
          <w:sz w:val="21"/>
        </w:rPr>
        <w:t>phishing analysis</w:t>
      </w:r>
      <w:r>
        <w:rPr>
          <w:rFonts w:ascii="Calibri" w:hAnsi="Calibri" w:eastAsia="Calibri"/>
          <w:b w:val="0"/>
          <w:sz w:val="21"/>
        </w:rPr>
        <w:t xml:space="preserve">, malware triage and </w:t>
      </w:r>
      <w:r>
        <w:rPr>
          <w:rFonts w:ascii="Calibri" w:hAnsi="Calibri" w:eastAsia="Calibri"/>
          <w:b/>
          <w:sz w:val="21"/>
        </w:rPr>
        <w:t>threat hunting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Microsoft Defender | Carbon Black | SentinelOne | Nessus | Qualys | Rapid7 | OpenVAS | Burp Suite (basic) | Palo Alto | Fortinet | Wireshark | ISO 27001 | SOC 2 | Okta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Brightwave Pharma – Salt Lake City, Utah</w:t>
        <w:tab/>
        <w:t>03/2024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NIST, Splunk, Okta, Qualys, Python, CrowdStrike, MITRE ATT&amp;CK, Nessus, PowerShell, GuardDuty, AWS Security Hub, Bash, Zscaler.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Summit Systems – Pittsburgh, Pennsylvania</w:t>
        <w:tab/>
        <w:t>07/2022 – 02/2024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Okta, Splunk, CrowdStrike, PowerShell, Wireshark, Nessus, Qualys, MITRE ATT&amp;CK, Sentinel, OpenVAS, Microsoft Sentinel, NIST CSF,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Ember Digital – Columbus, Ohio</w:t>
        <w:tab/>
        <w:t>10/2020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Python, MITRE ATT&amp;CK, Okta, Palo Alto, AWS GuardDuty, Nessus, CrowdStrike, Wireshark, IBM QRadar, PCI-DSS, CyberArk.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Nair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