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Brian Rogers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Raleigh, NC • brogers65@gmail.com • 312.555.0148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Data Analyst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complex queries with </w:t>
      </w:r>
      <w:r>
        <w:rPr>
          <w:rFonts w:ascii="Calibri" w:hAnsi="Calibri" w:eastAsia="Calibri"/>
          <w:b/>
          <w:sz w:val="21"/>
        </w:rPr>
        <w:t>CTEs, window functions, joins and subqueries</w:t>
      </w:r>
      <w:r>
        <w:rPr>
          <w:rFonts w:ascii="Calibri" w:hAnsi="Calibri" w:eastAsia="Calibri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closely with business stakeholders to translate requirements into </w:t>
      </w:r>
      <w:r>
        <w:rPr>
          <w:rFonts w:ascii="Calibri" w:hAnsi="Calibri" w:eastAsia="Calibri"/>
          <w:b/>
          <w:sz w:val="21"/>
        </w:rPr>
        <w:t>KPIs and metrics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cloud data platforms such as </w:t>
      </w:r>
      <w:r>
        <w:rPr>
          <w:rFonts w:ascii="Calibri" w:hAnsi="Calibri" w:eastAsia="Calibri"/>
          <w:b/>
          <w:sz w:val="21"/>
        </w:rPr>
        <w:t>Snowflake, AWS Redshift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Synapse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Alteryx</w:t>
      </w:r>
      <w:r>
        <w:rPr>
          <w:rFonts w:ascii="Calibri" w:hAnsi="Calibri" w:eastAsia="Calibri"/>
          <w:b w:val="0"/>
          <w:sz w:val="21"/>
        </w:rPr>
        <w:t xml:space="preserve"> to automate recurring reporting pipelines.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Python | R | VBA | T-SQL | PL/SQL | Tableau | Looker | Seaborn | Snowflake | Alteryx | Talend | Azure Data Factory | Hypothesis Testing | Regression | Forecasting | Git | Google Analytics | SAS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Sterling Bank – Raleigh, North Carolina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NumPy, Excel, JIRA, SSIS, Python, Azure, Oracle, Git, Power BI, SQL, Looker, Snowflake, MySQL.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Atlas Solutions – Wilmington, Delaware</w:t>
        <w:tab/>
        <w:t>10/2024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SQL Server, Pandas, NumPy, Oracle, Excel, Azure, Power BI, JIRA, T-SQL, Azure Data Factory, Looker.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Brian Rogers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