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Hiro Chopra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hiro.chopra27@yahoo.com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248-555-0128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Cambridge, Massachusetts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Scrum Master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Promoted </w:t>
      </w:r>
      <w:r>
        <w:rPr>
          <w:rFonts w:ascii="Times New Roman" w:hAnsi="Times New Roman" w:eastAsia="Times New Roman"/>
          <w:b/>
          <w:sz w:val="21"/>
        </w:rPr>
        <w:t>DevOps, CI/CD</w:t>
      </w:r>
      <w:r>
        <w:rPr>
          <w:rFonts w:ascii="Times New Roman" w:hAnsi="Times New Roman" w:eastAsia="Times New Roman"/>
          <w:b w:val="0"/>
          <w:sz w:val="21"/>
        </w:rPr>
        <w:t xml:space="preserve"> and quality engineering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LeSS (basic), XP, Lean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Daily Stand-up, Retrospective,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Confluence, Rally,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Facilitation, Conflict Resolution,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Labs, Cambridge, Massachusetts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Azure DevOps, SAFe, Slack, Rally, Confluence, Scrum, Kanban, JIRA, MS Teams, Facilitation, LeSS (basic), SQL basics, XP.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Retail Group, Jacksonville, Florida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Served as Scrum Master for cross-functional teams of 7–10 members delivering web and mobile products.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Kanban, SAFe, Slack, Scrum, Miro, MS Project, Rally, Confluence, MS Teams, Daily Stand-up, Sprint Review, PSM I.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Anna University, Chennai,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