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Laura Malhotra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lauramalhotra16@gmail.com • 201.555.0176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Golang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Golang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testify, gomock</w:t>
      </w:r>
      <w:r>
        <w:rPr>
          <w:rFonts w:ascii="Calibri" w:hAnsi="Calibri" w:eastAsia="Calibri"/>
          <w:b w:val="0"/>
          <w:sz w:val="21"/>
        </w:rPr>
        <w:t xml:space="preserve"> and benchmark profiling with </w:t>
      </w:r>
      <w:r>
        <w:rPr>
          <w:rFonts w:ascii="Calibri" w:hAnsi="Calibri" w:eastAsia="Calibri"/>
          <w:b/>
          <w:sz w:val="21"/>
        </w:rPr>
        <w:t>pprof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to </w:t>
      </w:r>
      <w:r>
        <w:rPr>
          <w:rFonts w:ascii="Calibri" w:hAnsi="Calibri" w:eastAsia="Calibri"/>
          <w:b/>
          <w:sz w:val="21"/>
        </w:rPr>
        <w:t>Kubernetes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Docker, Helm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MongoDB, Redis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Cassandra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SQL | Bash | Rust (basic) | Gin | Echo | Fiber | gRPC | Protobuf | GORM | Cobra | PostgreSQL | MongoDB | Redis | Cassandra | Kafka | NATS | RabbitMQ | SQS | Kubernetes | Helm | AWS | GCP | GitHub Actions | Jenkins | Prometheus | Grafana | Jaeger | ELK | testify | gomock | Ginkgo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Golang Engineer</w:t>
      </w:r>
      <w:r>
        <w:rPr>
          <w:rFonts w:ascii="Calibri" w:hAnsi="Calibri" w:eastAsia="Calibri"/>
          <w:b w:val="0"/>
          <w:sz w:val="21"/>
        </w:rPr>
        <w:t>, Silverline Group – Houston, Texas</w:t>
        <w:tab/>
        <w:t>10/2023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Go, Gin, AWS, Prometheus, Docker, gRPC, Terraform, PostgreSQL, Kubernetes, GitHub Actions, GCP,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Summit Technologies – Detroit, Michigan</w:t>
        <w:tab/>
        <w:t>08/2022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Redis, Protobuf, Kafka, Helm, gRPC, PostgreSQL, Jaeger, Prometheus, Docker,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Orion Digital – Alpharetta, Georgia</w:t>
        <w:tab/>
        <w:t>10/2019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Jaeger, PostgreSQL, Terraform, Protobuf, Gin, Prometheus, Kubernetes, AWS, Elasticsearch, Go.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Laura Malhotra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