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Lauren Ali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Edison, NJ • lauren.ali28@gmail.com • 408.555.0113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SQL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SQL Developer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database design, T-SQL / PL/SQL development, query tuning and data integration.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error handling, transactions, CTEs, temp tables</w:t>
      </w:r>
      <w:r>
        <w:rPr>
          <w:rFonts w:ascii="Calibri" w:hAnsi="Calibri" w:eastAsia="Calibri"/>
          <w:b w:val="0"/>
          <w:sz w:val="21"/>
        </w:rPr>
        <w:t xml:space="preserve"> and dynamic SQL.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Created </w:t>
      </w:r>
      <w:r>
        <w:rPr>
          <w:rFonts w:ascii="Calibri" w:hAnsi="Calibri" w:eastAsia="Calibri"/>
          <w:b/>
          <w:sz w:val="21"/>
        </w:rPr>
        <w:t>SSRS</w:t>
      </w:r>
      <w:r>
        <w:rPr>
          <w:rFonts w:ascii="Calibri" w:hAnsi="Calibri" w:eastAsia="Calibri"/>
          <w:b w:val="0"/>
          <w:sz w:val="21"/>
        </w:rPr>
        <w:t xml:space="preserve"> reports including parameterized, drill-down and sub-reports.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in </w:t>
      </w:r>
      <w:r>
        <w:rPr>
          <w:rFonts w:ascii="Calibri" w:hAnsi="Calibri" w:eastAsia="Calibri"/>
          <w:b/>
          <w:sz w:val="21"/>
        </w:rPr>
        <w:t>database design, normalization</w:t>
      </w:r>
      <w:r>
        <w:rPr>
          <w:rFonts w:ascii="Calibri" w:hAnsi="Calibri" w:eastAsia="Calibri"/>
          <w:b w:val="0"/>
          <w:sz w:val="21"/>
        </w:rPr>
        <w:t>, data modelling and ER diagrams.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experience in </w:t>
      </w:r>
      <w:r>
        <w:rPr>
          <w:rFonts w:ascii="Calibri" w:hAnsi="Calibri" w:eastAsia="Calibri"/>
          <w:b/>
          <w:sz w:val="21"/>
        </w:rPr>
        <w:t>performance tuning</w:t>
      </w:r>
      <w:r>
        <w:rPr>
          <w:rFonts w:ascii="Calibri" w:hAnsi="Calibri" w:eastAsia="Calibri"/>
          <w:b w:val="0"/>
          <w:sz w:val="21"/>
        </w:rPr>
        <w:t xml:space="preserve"> using execution plans, SQL Profiler and Query Store.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SQL Server 2012/2016/2019 | Oracle 11g/12c | PostgreSQL | MySQL | Azure SQL | DB2 | T-SQL | PowerShell | SSIS | SSRS | SSAS | Crystal Reports | Power BI | Informatica | SSMS | SQL Profiler | Query Store | TOAD | Redgate SQL Compare | Visual Studio | Azure Data Studio | Normalization | Indexing | Partitioning | Data Warehousing | Star Schema | OLTP/OLAP | Data Migration | Git | TFS | Azure DevOps | SVN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SQL Developer</w:t>
      </w:r>
      <w:r>
        <w:rPr>
          <w:rFonts w:ascii="Calibri" w:hAnsi="Calibri" w:eastAsia="Calibri"/>
          <w:b w:val="0"/>
          <w:sz w:val="21"/>
        </w:rPr>
        <w:t>, Keystone Insurance – Edison, New Jersey</w:t>
        <w:tab/>
        <w:t>01/2023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SSIS, SSMS, Oracle, Power BI, PL/SQL, T-SQL, PowerShell, Azure SQL, SSRS, Python, Data Migration, TFS, Normalization.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normalized relational schemas and ER diagrams in collaboration with architects and business analysts.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SQL Developer</w:t>
      </w:r>
      <w:r>
        <w:rPr>
          <w:rFonts w:ascii="Calibri" w:hAnsi="Calibri" w:eastAsia="Calibri"/>
          <w:b w:val="0"/>
          <w:sz w:val="21"/>
        </w:rPr>
        <w:t>, Harborlight Solutions – Orlando, Florida</w:t>
        <w:tab/>
        <w:t>11/2021 – 12/2022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SSMS, SSAS, SSRS, PL/SQL, T-SQL, Azure DevOps, TOAD, Azure SQL, Data Warehousing, SQL Server, Power BI.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data migration scripts and validated data integrity during legacy-to-new system migrations.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SQL Developer</w:t>
      </w:r>
      <w:r>
        <w:rPr>
          <w:rFonts w:ascii="Calibri" w:hAnsi="Calibri" w:eastAsia="Calibri"/>
          <w:b w:val="0"/>
          <w:sz w:val="21"/>
        </w:rPr>
        <w:t>, Westfield Technologies – Kansas City, Missouri</w:t>
        <w:tab/>
        <w:t>10/2021 – 10/2021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 SQL, SSIS, SSAS, SSMS, T-SQL, Power BI, Git, TOAD, PL/SQL, C#, SSRS, Data Migration.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slow-running queries using execution plans, index tuning and query rewrites, cutting runtimes by up to 60%.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Texas A&amp;M University, College Station, Texas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Lauren Ali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