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Harris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maria.har99@outlook.com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732-555-0186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Austin,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Golang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DDD, CQRS, clean architecture</w:t>
      </w:r>
      <w:r>
        <w:rPr>
          <w:rFonts w:ascii="Times New Roman" w:hAnsi="Times New Roman" w:eastAsia="Times New Roman"/>
          <w:b w:val="0"/>
          <w:sz w:val="21"/>
        </w:rPr>
        <w:t xml:space="preserve"> and distributed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 and gRPC</w:t>
      </w:r>
      <w:r>
        <w:rPr>
          <w:rFonts w:ascii="Times New Roman" w:hAnsi="Times New Roman" w:eastAsia="Times New Roman"/>
          <w:b w:val="0"/>
          <w:sz w:val="21"/>
        </w:rPr>
        <w:t xml:space="preserve"> microservices using </w:t>
      </w:r>
      <w:r>
        <w:rPr>
          <w:rFonts w:ascii="Times New Roman" w:hAnsi="Times New Roman" w:eastAsia="Times New Roman"/>
          <w:b/>
          <w:sz w:val="21"/>
        </w:rPr>
        <w:t>Gin, Echo, Fiber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Protobuf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Python, SQL, Bash, Rust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Fiber, Protobuf, GORM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MongoDB,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Kubernetes, Helm, Terraform, AWS, GCP, GitHub Actions,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Insurance, Austin, Texas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Gin, Redis, Kafka, Helm, Docker, Protobuf, gRPC, PostgreSQL, GORM,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Software, Omaha, Nebraska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gRPC, Docker, Prometheus, PostgreSQL, Jaeger, Terraform, Helm, GitHub Actions, Jenkins, MySQL, Go, MongoDB.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