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Maria Mishra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mariamishra74@outlook.com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312-555-0102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Louisville, Kentucky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SQL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deployed </w:t>
      </w:r>
      <w:r>
        <w:rPr>
          <w:rFonts w:ascii="Times New Roman" w:hAnsi="Times New Roman" w:eastAsia="Times New Roman"/>
          <w:b/>
          <w:sz w:val="21"/>
        </w:rPr>
        <w:t>SSIS</w:t>
      </w:r>
      <w:r>
        <w:rPr>
          <w:rFonts w:ascii="Times New Roman" w:hAnsi="Times New Roman" w:eastAsia="Times New Roman"/>
          <w:b w:val="0"/>
          <w:sz w:val="21"/>
        </w:rPr>
        <w:t xml:space="preserve"> packages for ETL and data migration across heterogeneous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11g/12c, PostgreSQL, MySQL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SSRS, Crystal Reports, Power BI, Informatica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SSMS, SQL Profiler,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Partitioning, Star Schema,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Energy, Louisville, Kentucky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SQL, SSMS, PL/SQL, TOAD, SSAS, Azure DevOps, SSIS, Oracle, T-SQL, Normalization, Power BI, PowerShell.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Pharma, Alpharetta, Georgia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2018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T-SQL, PL/SQL, Oracle, SSAS, Git, Azure DevOps, Power BI, SSMS, Azure SQL, DB2, TFS, Query Store, SQL Server 2012/2016/2019.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Financial, Baltimore, Maryland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October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Azure SQL, SSIS, SSAS, Git, TOAD, SQL Server, PowerShell, PL/SQL, C#, Data Warehousing, Python.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