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Stewart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meistewart36@outlook.com • 212.555.0197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Database Administrator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MySQL | MongoDB | Redis | Always On AG | Oracle RAC | Data Guard | Log Shipping | Replication | Clustering | RMAN | Veeam | AWR/ASH | Index Tuning | Query Store | SQL Trace | Azure Managed Instance | GCP Cloud SQL | Oracle OEM | SolarWinds DPA | Nagios | Redgate Monitor | Grafana | PowerShell | Bash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Database Administrator</w:t>
      </w:r>
      <w:r>
        <w:rPr>
          <w:rFonts w:ascii="Calibri" w:hAnsi="Calibri" w:eastAsia="Calibri"/>
          <w:b w:val="0"/>
          <w:sz w:val="21"/>
        </w:rPr>
        <w:t>, Trident Health – Detroit, Michigan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OEM, SolarWinds DPA, SQL Server, Oracle, Linux, PostgreSQL, Redgate, PowerShell, T-SQL, Bash, Point-in-Time Recovery,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Harborlight Consulting – Boston, Massachusetts</w:t>
        <w:tab/>
        <w:t>05/2023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Data Guard, Always On, OEM, Bash, PowerShell, Redgate, PostgreSQL, SolarWinds DPA, Oracle RAC, Python, PL/SQL, Oracle 12c/19c.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Vertex Software – San Francisco, California</w:t>
        <w:tab/>
        <w:t>10/2018 – 04/2023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RMAN, AWS RDS, SolarWinds DPA, Always On, OEM, PowerShell, Oracle, MySQL, Linux, GCP Cloud SQL, SQL Server 2016/2019.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Stewart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