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poojaallen23@gmail.com • 408.555.0114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BI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SSAS tabular/multidimensional</w:t>
      </w:r>
      <w:r>
        <w:rPr>
          <w:rFonts w:ascii="Calibri" w:hAnsi="Calibri" w:eastAsia="Calibri"/>
          <w:b w:val="0"/>
          <w:sz w:val="21"/>
        </w:rPr>
        <w:t xml:space="preserve"> cubes with MDX/DAX.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Cognos | MicroStrategy | SQL | SSIS | Azure Data Factory | Talend | Alteryx | SQL Server | Redshift | Teradata | Star Schema | Snowflake Schema | SCD Types | Fact/Dimension | OLAP Cubes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Crestview Systems – St. Louis, Missouri</w:t>
        <w:tab/>
        <w:t>04/2026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Power Query, SSAS, DAX, SSIS, Snowflake, Excel, SSRS, SQL Server, Snowflake Schema,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Granite Digital – Houston, Texas</w:t>
        <w:tab/>
        <w:t>05/2022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SSAS, Power Query, Azure DevOps, SQL Server, SSRS, Azure Data Factory, Excel, Power BI, Snowflake, Redshift, Fact/Dimension, Snowflake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Oakridge Digital – Minneapolis, Minnesota</w:t>
        <w:tab/>
        <w:t>02/2017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Azure Synapse, DAX, SSRS, Git, Azure DevOps, Tableau, Snowflake, Power Query, SSIS, Alteryx.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Vertex Software – Schaumburg, Illinois</w:t>
        <w:tab/>
        <w:t>10/2015 – 01/2017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Tableau, Azure DevOps, Excel, Azure Data Factory, Azure Synapse, SQL Server, Git, Snowflake, Cognos, Power Query (M),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