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Sarah Nguyen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sarah.nguyen88@gmail.com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813-555-0197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Jersey City,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Business Analyst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UAT planning</w:t>
      </w:r>
      <w:r>
        <w:rPr>
          <w:rFonts w:ascii="Times New Roman" w:hAnsi="Times New Roman" w:eastAsia="Times New Roman"/>
          <w:b w:val="0"/>
          <w:sz w:val="21"/>
        </w:rPr>
        <w:t>, test case review and defect triage.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Proven expertise in </w:t>
      </w:r>
      <w:r>
        <w:rPr>
          <w:rFonts w:ascii="Times New Roman" w:hAnsi="Times New Roman" w:eastAsia="Times New Roman"/>
          <w:b/>
          <w:sz w:val="21"/>
        </w:rPr>
        <w:t>requirements gathering, analysis and documentation</w:t>
      </w:r>
      <w:r>
        <w:rPr>
          <w:rFonts w:ascii="Times New Roman" w:hAnsi="Times New Roman" w:eastAsia="Times New Roman"/>
          <w:b w:val="0"/>
          <w:sz w:val="21"/>
        </w:rPr>
        <w:t xml:space="preserve"> (BRD, FRD, SRS, use cases, user stories).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Extensive experience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Waterfall</w:t>
      </w:r>
      <w:r>
        <w:rPr>
          <w:rFonts w:ascii="Times New Roman" w:hAnsi="Times New Roman" w:eastAsia="Times New Roman"/>
          <w:b w:val="0"/>
          <w:sz w:val="21"/>
        </w:rPr>
        <w:t xml:space="preserve"> delivery; acted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wireframes and prototypes</w:t>
      </w:r>
      <w:r>
        <w:rPr>
          <w:rFonts w:ascii="Times New Roman" w:hAnsi="Times New Roman" w:eastAsia="Times New Roman"/>
          <w:b w:val="0"/>
          <w:sz w:val="21"/>
        </w:rPr>
        <w:t xml:space="preserve"> using Balsamiq and Figma.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JAD sessions, workshops</w:t>
      </w:r>
      <w:r>
        <w:rPr>
          <w:rFonts w:ascii="Times New Roman" w:hAnsi="Times New Roman" w:eastAsia="Times New Roman"/>
          <w:b w:val="0"/>
          <w:sz w:val="21"/>
        </w:rPr>
        <w:t xml:space="preserve"> and stakeholder interviews.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process modelling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BPMN, UML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MS Visio</w:t>
      </w:r>
      <w:r>
        <w:rPr>
          <w:rFonts w:ascii="Times New Roman" w:hAnsi="Times New Roman" w:eastAsia="Times New Roman"/>
          <w:b w:val="0"/>
          <w:sz w:val="21"/>
        </w:rPr>
        <w:t xml:space="preserve">; performed </w:t>
      </w:r>
      <w:r>
        <w:rPr>
          <w:rFonts w:ascii="Times New Roman" w:hAnsi="Times New Roman" w:eastAsia="Times New Roman"/>
          <w:b/>
          <w:sz w:val="21"/>
        </w:rPr>
        <w:t>gap analysis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impact analysis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Analysis:</w:t>
      </w:r>
      <w:r>
        <w:rPr>
          <w:rFonts w:ascii="Times New Roman" w:hAnsi="Times New Roman" w:eastAsia="Times New Roman"/>
          <w:b w:val="0"/>
          <w:sz w:val="21"/>
        </w:rPr>
        <w:t xml:space="preserve"> Requirements Elicitation, Use Cases, User Stories, SWOT, Traceability Matrix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UML, BPMN, MS Visio, Lucidchart, Data Flow Diagrams, ER Diagrams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Kanban, Waterfall, SDLC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Azure DevOps, MS Project, SharePoint, Balsamiq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SQL, Excel (Pivot, VLOOKUP), Tableau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UAT, HP ALM, Defect Management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Domains:</w:t>
      </w:r>
      <w:r>
        <w:rPr>
          <w:rFonts w:ascii="Times New Roman" w:hAnsi="Times New Roman" w:eastAsia="Times New Roman"/>
          <w:b w:val="0"/>
          <w:sz w:val="21"/>
        </w:rPr>
        <w:t xml:space="preserve"> Insurance, Telecom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Systems, Jersey City, New Jersey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SharePoint, MS Visio, Confluence, Power BI, Excel, Tableau, Figma, MS Project, Balsamiq, BPMN, Excel (Pivot, VLOOKUP), Scrum.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Analytics, Orlando, Florida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2024 – May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SharePoint, Excel, Power BI, Balsamiq, Figma, MS Visio, HP ALM, JIRA, MS Project, Requirements Elicitation.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Labs, Providence, Rhode Island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March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Balsamiq, JIRA, HP ALM, Figma, Rally, SQL, Power BI, MS Visio, Confluence, Root Cause Analysis, Lucidchart, Azure DevOps, Use Cases.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Northeastern University, Boston,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