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Walker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siddharthwalker22@gmail.com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732-555-0136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Seattle, Washington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Project Manager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PMP-certified professional with proven record of delivering </w:t>
      </w:r>
      <w:r>
        <w:rPr>
          <w:rFonts w:ascii="Times New Roman" w:hAnsi="Times New Roman" w:eastAsia="Times New Roman"/>
          <w:b/>
          <w:sz w:val="21"/>
        </w:rPr>
        <w:t>IT projects on time and within budget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Agile, Waterfall and Hybrid</w:t>
      </w:r>
      <w:r>
        <w:rPr>
          <w:rFonts w:ascii="Times New Roman" w:hAnsi="Times New Roman" w:eastAsia="Times New Roman"/>
          <w:b w:val="0"/>
          <w:sz w:val="21"/>
        </w:rPr>
        <w:t xml:space="preserve"> delivery methodologies.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project charters, WBS, schedules, RAID logs and </w:t>
      </w:r>
      <w:r>
        <w:rPr>
          <w:rFonts w:ascii="Times New Roman" w:hAnsi="Times New Roman" w:eastAsia="Times New Roman"/>
          <w:b/>
          <w:sz w:val="21"/>
        </w:rPr>
        <w:t>status reports</w:t>
      </w:r>
      <w:r>
        <w:rPr>
          <w:rFonts w:ascii="Times New Roman" w:hAnsi="Times New Roman" w:eastAsia="Times New Roman"/>
          <w:b w:val="0"/>
          <w:sz w:val="21"/>
        </w:rPr>
        <w:t xml:space="preserve"> for executives.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Excellent </w:t>
      </w:r>
      <w:r>
        <w:rPr>
          <w:rFonts w:ascii="Times New Roman" w:hAnsi="Times New Roman" w:eastAsia="Times New Roman"/>
          <w:b/>
          <w:sz w:val="21"/>
        </w:rPr>
        <w:t>stakeholder communication</w:t>
      </w:r>
      <w:r>
        <w:rPr>
          <w:rFonts w:ascii="Times New Roman" w:hAnsi="Times New Roman" w:eastAsia="Times New Roman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in banking, healthcare, retail and telecom domains.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MS Project, JIRA, Smartsheet, Confluence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Waterfall, Hybrid, Lean Six Sigma (Green Belt)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Planning &amp; Control:</w:t>
      </w:r>
      <w:r>
        <w:rPr>
          <w:rFonts w:ascii="Times New Roman" w:hAnsi="Times New Roman" w:eastAsia="Times New Roman"/>
          <w:b w:val="0"/>
          <w:sz w:val="21"/>
        </w:rPr>
        <w:t xml:space="preserve"> Gantt, Budget Tracking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Risk &amp; Governance:</w:t>
      </w:r>
      <w:r>
        <w:rPr>
          <w:rFonts w:ascii="Times New Roman" w:hAnsi="Times New Roman" w:eastAsia="Times New Roman"/>
          <w:b w:val="0"/>
          <w:sz w:val="21"/>
        </w:rPr>
        <w:t xml:space="preserve"> Risk Register, RAID Log, Change Control, Issue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Smartsheet, Visio,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Delivery:</w:t>
      </w:r>
      <w:r>
        <w:rPr>
          <w:rFonts w:ascii="Times New Roman" w:hAnsi="Times New Roman" w:eastAsia="Times New Roman"/>
          <w:b w:val="0"/>
          <w:sz w:val="21"/>
        </w:rPr>
        <w:t xml:space="preserve"> Release Management, Vendor Management, UAT Coordination, Go-Live, Transition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Leadership:</w:t>
      </w:r>
      <w:r>
        <w:rPr>
          <w:rFonts w:ascii="Times New Roman" w:hAnsi="Times New Roman" w:eastAsia="Times New Roman"/>
          <w:b w:val="0"/>
          <w:sz w:val="21"/>
        </w:rPr>
        <w:t xml:space="preserve"> Stakeholder Management, Negotiation, Team Building, Mentoring, Conflict Resolution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PMP, CSM, ITIL Foundation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Group, Seattle, Washington</w:t>
        <w:tab/>
        <w:t>Project Manager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Agile practices including sprints,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third-party vendors, SLAs and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Smartsheet, MS Teams, Azure DevOps, Visio, JIRA, SharePoint, MS Project, Power BI, ServiceNow, Hybrid, Resource Leveling, Stakeholder Management.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Financial, Jersey City, New Jersey</w:t>
        <w:tab/>
        <w:t>Project Coordinator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budgets and forecasts, achieving cost savings of 8–12% through proactive vendor negotiation.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release planning, UAT, cutover and go-live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project coordinators and team leads.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end-to-end delivery of enterprise IT projects from initiation to closure within approved scope, budget and schedule.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Smartsheet, ServiceNow, Confluence, Power BI, MS Project, MS Teams, SharePoint, JIRA, Excel, Stakeholder Management, Agile, Hybrid, Azure DevOps.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