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Tyler Adams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tadams10@outlook.com • 267.555.0183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BI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enterprise reports with </w:t>
      </w:r>
      <w:r>
        <w:rPr>
          <w:rFonts w:ascii="Calibri" w:hAnsi="Calibri" w:eastAsia="Calibri"/>
          <w:b/>
          <w:sz w:val="21"/>
        </w:rPr>
        <w:t>SSRS, Cognos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MicroStrategy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self-service BI</w:t>
      </w:r>
      <w:r>
        <w:rPr>
          <w:rFonts w:ascii="Calibri" w:hAnsi="Calibri" w:eastAsia="Calibri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 xml:space="preserve"> (DAX, Power Query, row-level security)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Collaborated with business users to define KPIs and visual standards.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Tableau | Cognos | MicroStrategy | QlikView | SSRS | Looker | DAX | MDX | Python | Informatica | Azure Data Factory | Talend | SQL Server | Redshift | Teradata | Star Schema | Snowflake Schema | Fact/Dimension | OLAP Cubes | SSAS | JIRA | Azure DevOps | Excel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Granite Systems – Cambridge, Massachusetts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Synapse, SSAS, Azure Data Factory, SQL Server, SSIS, Git, Snowflake, Azure DevOps, SSRS, Power BI, Excel, Cognos.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Stonegate Technologies – Minneapolis, Minnesota</w:t>
        <w:tab/>
        <w:t>10/2023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SSAS, SSRS, Tableau, DAX, Azure Data Factory, Power Query, Power BI, Azure DevOps, Git, SSIS, Looker,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Tyler Adams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