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Vikram Jones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vjones67@outlook.com • 940.555.0197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AWS Cloud Engineer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infrastructure using </w:t>
      </w:r>
      <w:r>
        <w:rPr>
          <w:rFonts w:ascii="Calibri" w:hAnsi="Calibri" w:eastAsia="Calibri"/>
          <w:b/>
          <w:sz w:val="21"/>
        </w:rPr>
        <w:t>CloudFormation, 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CDK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EKS | Elastic Beanstalk | Auto Scaling | S3 | EBS | EFS | Aurora | ElastiCache | Redshift | ELB/ALB | VPN | Transit Gateway | IAM | KMS | Security Groups | GuardDuty | WAF | Config | CloudTrail | Terraform | CodePipeline | CodeBuild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Stonegate Logistics – Houston, Texas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CloudWatch, RDS, Terraform, Jenkins, Python, VPC, Bash, S3, Lambda, ECS, Elastic Beanstalk.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Oakridge Solutions – New York, New York</w:t>
        <w:tab/>
        <w:t>03/2021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Lambda, AWS EC2, Python, CloudWatch, CloudFront, VPC, Jenkins, CloudFormation, ECS, EC2, Auto Scaling, GuardDuty.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Brightwave Interactive – Charlotte, North Carolina</w:t>
        <w:tab/>
        <w:t>11/2020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ECS, S3, Bash, Jenkins, VPC, EKS, CloudFormation, CloudFront, Python, AWS EC2, DynamoDB, Redshift, VPN.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Zenith Insurance – San Jose, California</w:t>
        <w:tab/>
        <w:t>10/2017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RDS, CloudFormation, IAM, AWS EC2, Terraform, Route 53, EKS, CloudFront, CloudWatch, ElastiCache, 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Vikram Jones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