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Vinay Chauhan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Edison, NJ • vinay.chauhan16@gmail.com • 224.555.0190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AWS Cloud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AWS Cloud Engineer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AWS Certified Solutions Architect – Associate.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with core </w:t>
      </w:r>
      <w:r>
        <w:rPr>
          <w:rFonts w:ascii="Calibri" w:hAnsi="Calibri" w:eastAsia="Calibri"/>
          <w:b/>
          <w:sz w:val="21"/>
        </w:rPr>
        <w:t>AWS services</w:t>
      </w:r>
      <w:r>
        <w:rPr>
          <w:rFonts w:ascii="Calibri" w:hAnsi="Calibri" w:eastAsia="Calibri"/>
          <w:b w:val="0"/>
          <w:sz w:val="21"/>
        </w:rPr>
        <w:t xml:space="preserve">: </w:t>
      </w:r>
      <w:r>
        <w:rPr>
          <w:rFonts w:ascii="Calibri" w:hAnsi="Calibri" w:eastAsia="Calibri"/>
          <w:b/>
          <w:sz w:val="21"/>
        </w:rPr>
        <w:t>EC2, S3, VPC, IAM, RDS, DynamoDB, Lambda, CloudFront, Route 53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Configured </w:t>
      </w:r>
      <w:r>
        <w:rPr>
          <w:rFonts w:ascii="Calibri" w:hAnsi="Calibri" w:eastAsia="Calibri"/>
          <w:b/>
          <w:sz w:val="21"/>
        </w:rPr>
        <w:t>security best practices</w:t>
      </w:r>
      <w:r>
        <w:rPr>
          <w:rFonts w:ascii="Calibri" w:hAnsi="Calibri" w:eastAsia="Calibri"/>
          <w:b w:val="0"/>
          <w:sz w:val="21"/>
        </w:rPr>
        <w:t>: IAM roles, KMS, Security Groups, GuardDuty, WAF.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containers (ECS/EKS)</w:t>
      </w:r>
      <w:r>
        <w:rPr>
          <w:rFonts w:ascii="Calibri" w:hAnsi="Calibri" w:eastAsia="Calibri"/>
          <w:b w:val="0"/>
          <w:sz w:val="21"/>
        </w:rPr>
        <w:t xml:space="preserve"> and CI/CD via </w:t>
      </w:r>
      <w:r>
        <w:rPr>
          <w:rFonts w:ascii="Calibri" w:hAnsi="Calibri" w:eastAsia="Calibri"/>
          <w:b/>
          <w:sz w:val="21"/>
        </w:rPr>
        <w:t>CodePipeline</w:t>
      </w:r>
      <w:r>
        <w:rPr>
          <w:rFonts w:ascii="Calibri" w:hAnsi="Calibri" w:eastAsia="Calibri"/>
          <w:b w:val="0"/>
          <w:sz w:val="21"/>
        </w:rPr>
        <w:t xml:space="preserve"> and Jenkins.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EC2 | ECS | EKS | Elastic Beanstalk | Auto Scaling | S3 | EBS | EFS | RDS | Aurora | DynamoDB | ElastiCache | Redshift | VPC | Route 53 | CloudFront | ELB/ALB | Direct Connect | VPN | Transit Gateway | IAM | KMS | Security Groups | GuardDuty | WAF | Config | CloudTrail | CloudFormation | Terraform | AWS CDK | CodePipeline | CodeBuild | Jenkins | Ansible | CloudWatch | X-Ray | Datadog | Grafana | Python (boto3) | Bash | PowerShell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AWS Cloud Engineer</w:t>
      </w:r>
      <w:r>
        <w:rPr>
          <w:rFonts w:ascii="Calibri" w:hAnsi="Calibri" w:eastAsia="Calibri"/>
          <w:b w:val="0"/>
          <w:sz w:val="21"/>
        </w:rPr>
        <w:t>, Zenith Technologies – Edison, New Jersey</w:t>
        <w:tab/>
        <w:t>09/2024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Bash, CloudFront, CloudWatch, S3, VPC, Python, CloudFormation, IAM, RDS, CloudTrail, Transit Gateway, Direct Connect.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monthly AWS spend by 30% via rightsizing, Savings Plans and S3 lifecycle policies.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Cloud Engineer</w:t>
      </w:r>
      <w:r>
        <w:rPr>
          <w:rFonts w:ascii="Calibri" w:hAnsi="Calibri" w:eastAsia="Calibri"/>
          <w:b w:val="0"/>
          <w:sz w:val="21"/>
        </w:rPr>
        <w:t>, Lumen Logistics – Edison, New Jersey</w:t>
        <w:tab/>
        <w:t>10/2021 – 08/2024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ECS, IAM, VPC, CloudWatch, Route 53, Lambda, EKS, RDS, Bash, Aurora, Direct Connect, AWS EC2, X-Ray.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on-premises workloads to AWS using Server Migration Service and Database Migration Service.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Cloud Engineer</w:t>
      </w:r>
      <w:r>
        <w:rPr>
          <w:rFonts w:ascii="Calibri" w:hAnsi="Calibri" w:eastAsia="Calibri"/>
          <w:b w:val="0"/>
          <w:sz w:val="21"/>
        </w:rPr>
        <w:t>, Highland Consulting – Seattle, Washington</w:t>
        <w:tab/>
        <w:t>10/2020 – 09/2021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Terraform, Jenkins, Python, VPC, Bash, Lambda, Route 53, CloudFormation, AWS EC2, EFS, EC2, Security Groups.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architecture diagrams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Systems – University of Mumbai, India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Wright State University, Dayton,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Vinay Chauhan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