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William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williamdeshmukh95@gmail.com • 201.555.0161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Golang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Observability with </w:t>
      </w:r>
      <w:r>
        <w:rPr>
          <w:rFonts w:ascii="Calibri" w:hAnsi="Calibri" w:eastAsia="Calibri"/>
          <w:b/>
          <w:sz w:val="21"/>
        </w:rPr>
        <w:t>Prometheus, Grafana, Jaeger</w:t>
      </w:r>
      <w:r>
        <w:rPr>
          <w:rFonts w:ascii="Calibri" w:hAnsi="Calibri" w:eastAsia="Calibri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to </w:t>
      </w:r>
      <w:r>
        <w:rPr>
          <w:rFonts w:ascii="Calibri" w:hAnsi="Calibri" w:eastAsia="Calibri"/>
          <w:b/>
          <w:sz w:val="21"/>
        </w:rPr>
        <w:t>Kubernetes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Docker, Helm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on AWS/GCP.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Python | Bash | Rust (basic) | Gin | Echo | Fiber | gRPC | Cobra | MySQL | Elasticsearch | Kafka | NATS | RabbitMQ | SQS | Docker | Kubernetes | Helm | Terraform | AWS | GCP | GitHub Actions | Jenkins | Prometheus | Grafana | Jaeger | OpenTelemetry | ELK | gomock | Ginkgo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Silverline Financial – Plano, Texas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Jaeger, Helm, PostgreSQL, Terraform, Redis, gRPC, Go, AWS, Cobra, Kafka, GORM.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Redwood Group – Omaha, Nebraska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Jaeger, Kafka, gRPC, PostgreSQL, Prometheus, AWS, Docker, Go, Redis, Gin, Kubernetes, GORM, ELK.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William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