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Migration &amp; AI Modernization Strategy</w:t>
      </w:r>
    </w:p>
    <w:p>
      <w:r>
        <w:t>This strategic document outlines our enterprise transition from legacy on-premises servers to a hybrid cloud architecture powered by local NLP intelligence and automated pipelines. Our primary objective is to reduce infrastructure latency by 45% and ensure data sovereignty.</w:t>
      </w:r>
    </w:p>
    <w:p>
      <w:pPr>
        <w:pStyle w:val="Heading2"/>
      </w:pPr>
      <w:r>
        <w:t>Architecture Overview</w:t>
      </w:r>
    </w:p>
    <w:p>
      <w:r>
        <w:t>The architecture leverages containerized microservices orchestrated via Kubernetes. Sensitive documents remain on-premise for offline embedding and inference.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Audit legacy infrastructure</w:t>
            </w:r>
          </w:p>
        </w:tc>
        <w:tc>
          <w:tcPr>
            <w:tcW w:type="dxa" w:w="2880"/>
          </w:tcPr>
          <w:p>
            <w:r>
              <w:t>Q1 2026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Deploy DocGlance offline intelligence</w:t>
            </w:r>
          </w:p>
        </w:tc>
        <w:tc>
          <w:tcPr>
            <w:tcW w:type="dxa" w:w="2880"/>
          </w:tcPr>
          <w:p>
            <w:r>
              <w:t>Q2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