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69C8" w14:textId="77777777" w:rsidR="004D4AAF" w:rsidRDefault="004D4AAF" w:rsidP="004D4AAF">
      <w:r>
        <w:t>Methodology: Urban Expansion Detection Using Multi-Spectral Indices and Terrain Analysis</w:t>
      </w:r>
    </w:p>
    <w:p w14:paraId="364618D7" w14:textId="77777777" w:rsidR="004D4AAF" w:rsidRDefault="004D4AAF" w:rsidP="004D4AAF">
      <w:r>
        <w:t xml:space="preserve">To detect urban expansion between two time periods (pre- and post-event), a raster-based classification and change detection workflow was implemented using the </w:t>
      </w:r>
      <w:proofErr w:type="spellStart"/>
      <w:r>
        <w:t>ModelBuilder</w:t>
      </w:r>
      <w:proofErr w:type="spellEnd"/>
      <w:r>
        <w:t xml:space="preserve"> tool in ArcGIS Pro. This approach integrates normalized difference vegetation index (NDVI), normalized difference built-up index (NDBI), normalized difference water index (NDWI), and slope-derived terrain data to generate binary urban masks for each period. These masks are then compared to identify areas of urban growth. The workflow consists of three sequential raster calculator operations, as detailed below. All input </w:t>
      </w:r>
      <w:proofErr w:type="spellStart"/>
      <w:r>
        <w:t>rasters</w:t>
      </w:r>
      <w:proofErr w:type="spellEnd"/>
      <w:r>
        <w:t xml:space="preserve"> were pre-processed to a common spatial resolution (30 m), extent, and coordinate system (UTM Zone based on study area), ensuring pixel-level alignment for accurate comparisons.</w:t>
      </w:r>
    </w:p>
    <w:p w14:paraId="3A33BB42" w14:textId="77777777" w:rsidR="004D4AAF" w:rsidRDefault="004D4AAF" w:rsidP="004D4AAF">
      <w:r>
        <w:t>Step 1: Input Data Preparation</w:t>
      </w:r>
    </w:p>
    <w:p w14:paraId="6DA3B3EE" w14:textId="77777777" w:rsidR="004D4AAF" w:rsidRDefault="004D4AAF" w:rsidP="004D4AAF">
      <w:r>
        <w:t>Four key raster layers were prepared for each temporal period (pre-event and post-event) using Landsat 8/9 satellite imagery and a digital elevation model (DEM):</w:t>
      </w:r>
    </w:p>
    <w:p w14:paraId="3C3AB350" w14:textId="77777777" w:rsidR="004D4AAF" w:rsidRDefault="004D4AAF" w:rsidP="004D4AAF"/>
    <w:p w14:paraId="32FDD5A9" w14:textId="77777777" w:rsidR="004D4AAF" w:rsidRDefault="004D4AAF" w:rsidP="004D4AAF">
      <w:r>
        <w:t>NDVI (Normalized Difference Vegetation Index): Calculated as $\</w:t>
      </w:r>
      <w:proofErr w:type="gramStart"/>
      <w:r>
        <w:t>text{</w:t>
      </w:r>
      <w:proofErr w:type="gramEnd"/>
      <w:r>
        <w:t>NDVI} = \frac{\</w:t>
      </w:r>
      <w:proofErr w:type="gramStart"/>
      <w:r>
        <w:t>text{</w:t>
      </w:r>
      <w:proofErr w:type="gramEnd"/>
      <w:r>
        <w:t>NIR} - \</w:t>
      </w:r>
      <w:proofErr w:type="gramStart"/>
      <w:r>
        <w:t>text{</w:t>
      </w:r>
      <w:proofErr w:type="gramEnd"/>
      <w:r>
        <w:t>Red</w:t>
      </w:r>
      <w:proofErr w:type="gramStart"/>
      <w:r>
        <w:t>}}{</w:t>
      </w:r>
      <w:proofErr w:type="gramEnd"/>
      <w:r>
        <w:t>\</w:t>
      </w:r>
      <w:proofErr w:type="gramStart"/>
      <w:r>
        <w:t>text{</w:t>
      </w:r>
      <w:proofErr w:type="gramEnd"/>
      <w:r>
        <w:t>NIR} + \</w:t>
      </w:r>
      <w:proofErr w:type="gramStart"/>
      <w:r>
        <w:t>text{</w:t>
      </w:r>
      <w:proofErr w:type="gramEnd"/>
      <w:r>
        <w:t>Red</w:t>
      </w:r>
      <w:proofErr w:type="gramStart"/>
      <w:r>
        <w:t>}}$</w:t>
      </w:r>
      <w:proofErr w:type="gramEnd"/>
      <w:r>
        <w:t>, where NIR is the near-infrared band and Red is the red band. This index highlights vegetated areas (values typically &gt; 0.2) and suppresses them in urban classification.</w:t>
      </w:r>
    </w:p>
    <w:p w14:paraId="4EFA86D1" w14:textId="77777777" w:rsidR="004D4AAF" w:rsidRDefault="004D4AAF" w:rsidP="004D4AAF">
      <w:r>
        <w:t>NDWI (Normalized Difference Water Index): Calculated as $\</w:t>
      </w:r>
      <w:proofErr w:type="gramStart"/>
      <w:r>
        <w:t>text{</w:t>
      </w:r>
      <w:proofErr w:type="gramEnd"/>
      <w:r>
        <w:t>NDWI} = \frac{\</w:t>
      </w:r>
      <w:proofErr w:type="gramStart"/>
      <w:r>
        <w:t>text{</w:t>
      </w:r>
      <w:proofErr w:type="gramEnd"/>
      <w:r>
        <w:t>Green} - \</w:t>
      </w:r>
      <w:proofErr w:type="gramStart"/>
      <w:r>
        <w:t>text{</w:t>
      </w:r>
      <w:proofErr w:type="gramEnd"/>
      <w:r>
        <w:t>NIR</w:t>
      </w:r>
      <w:proofErr w:type="gramStart"/>
      <w:r>
        <w:t>}}{</w:t>
      </w:r>
      <w:proofErr w:type="gramEnd"/>
      <w:r>
        <w:t>\</w:t>
      </w:r>
      <w:proofErr w:type="gramStart"/>
      <w:r>
        <w:t>text{</w:t>
      </w:r>
      <w:proofErr w:type="gramEnd"/>
      <w:r>
        <w:t>Green} + \</w:t>
      </w:r>
      <w:proofErr w:type="gramStart"/>
      <w:r>
        <w:t>text{</w:t>
      </w:r>
      <w:proofErr w:type="gramEnd"/>
      <w:r>
        <w:t>NIR</w:t>
      </w:r>
      <w:proofErr w:type="gramStart"/>
      <w:r>
        <w:t>}}$</w:t>
      </w:r>
      <w:proofErr w:type="gramEnd"/>
      <w:r>
        <w:t>, where Green is the green band. This index identifies water bodies (values typically &gt; 0) to exclude them from urban areas.</w:t>
      </w:r>
    </w:p>
    <w:p w14:paraId="7C12D245" w14:textId="77777777" w:rsidR="004D4AAF" w:rsidRDefault="004D4AAF" w:rsidP="004D4AAF">
      <w:r>
        <w:t>NDBI (Normalized Difference Built-Up Index): Calculated as $\</w:t>
      </w:r>
      <w:proofErr w:type="gramStart"/>
      <w:r>
        <w:t>text{</w:t>
      </w:r>
      <w:proofErr w:type="gramEnd"/>
      <w:r>
        <w:t>NDBI} = \frac{\</w:t>
      </w:r>
      <w:proofErr w:type="gramStart"/>
      <w:r>
        <w:t>text{</w:t>
      </w:r>
      <w:proofErr w:type="gramEnd"/>
      <w:r>
        <w:t>SWIR} - \</w:t>
      </w:r>
      <w:proofErr w:type="gramStart"/>
      <w:r>
        <w:t>text{</w:t>
      </w:r>
      <w:proofErr w:type="gramEnd"/>
      <w:r>
        <w:t>NIR</w:t>
      </w:r>
      <w:proofErr w:type="gramStart"/>
      <w:r>
        <w:t>}}{</w:t>
      </w:r>
      <w:proofErr w:type="gramEnd"/>
      <w:r>
        <w:t>\</w:t>
      </w:r>
      <w:proofErr w:type="gramStart"/>
      <w:r>
        <w:t>text{</w:t>
      </w:r>
      <w:proofErr w:type="gramEnd"/>
      <w:r>
        <w:t>SWIR} + \</w:t>
      </w:r>
      <w:proofErr w:type="gramStart"/>
      <w:r>
        <w:t>text{</w:t>
      </w:r>
      <w:proofErr w:type="gramEnd"/>
      <w:r>
        <w:t>NIR</w:t>
      </w:r>
      <w:proofErr w:type="gramStart"/>
      <w:r>
        <w:t>}}$</w:t>
      </w:r>
      <w:proofErr w:type="gramEnd"/>
      <w:r>
        <w:t>, where SWIR is the short-wave infrared band. This index emphasizes impervious surfaces in built-up areas (values typically &gt; 0).</w:t>
      </w:r>
    </w:p>
    <w:p w14:paraId="791992CE" w14:textId="77777777" w:rsidR="004D4AAF" w:rsidRDefault="004D4AAF" w:rsidP="004D4AAF">
      <w:r>
        <w:t>Slope: Derived from a 30 m DEM using the Slope tool in ArcGIS Spatial Analyst, expressed in degrees. Steep slopes (&gt;15°) were excluded to focus on developable flat-to-moderate terrain typical of urban expansion.</w:t>
      </w:r>
    </w:p>
    <w:p w14:paraId="6521DED9" w14:textId="77777777" w:rsidR="004D4AAF" w:rsidRDefault="004D4AAF" w:rsidP="004D4AAF"/>
    <w:p w14:paraId="5F6F07F7" w14:textId="77777777" w:rsidR="004D4AAF" w:rsidRDefault="004D4AAF" w:rsidP="004D4AAF">
      <w:r>
        <w:t>The input files were named as follows:</w:t>
      </w:r>
    </w:p>
    <w:p w14:paraId="41918677" w14:textId="77777777" w:rsidR="004D4AAF" w:rsidRDefault="004D4AAF" w:rsidP="004D4AAF"/>
    <w:p w14:paraId="06E0671D" w14:textId="77777777" w:rsidR="004D4AAF" w:rsidRDefault="004D4AAF" w:rsidP="004D4AAF">
      <w:r>
        <w:t xml:space="preserve">Pre-event: </w:t>
      </w:r>
      <w:proofErr w:type="spellStart"/>
      <w:r>
        <w:t>NDVI_pre.tif</w:t>
      </w:r>
      <w:proofErr w:type="spellEnd"/>
      <w:r>
        <w:t xml:space="preserve">, </w:t>
      </w:r>
      <w:proofErr w:type="spellStart"/>
      <w:r>
        <w:t>NDWI_pre.tif</w:t>
      </w:r>
      <w:proofErr w:type="spellEnd"/>
      <w:r>
        <w:t xml:space="preserve">, </w:t>
      </w:r>
      <w:proofErr w:type="spellStart"/>
      <w:r>
        <w:t>NDBI_pre.tif</w:t>
      </w:r>
      <w:proofErr w:type="spellEnd"/>
      <w:r>
        <w:t xml:space="preserve">, </w:t>
      </w:r>
      <w:proofErr w:type="spellStart"/>
      <w:r>
        <w:t>Slope_pre.tif</w:t>
      </w:r>
      <w:proofErr w:type="spellEnd"/>
    </w:p>
    <w:p w14:paraId="69E07BE1" w14:textId="77777777" w:rsidR="004D4AAF" w:rsidRDefault="004D4AAF" w:rsidP="004D4AAF">
      <w:r>
        <w:t xml:space="preserve">Post-event: </w:t>
      </w:r>
      <w:proofErr w:type="spellStart"/>
      <w:r>
        <w:t>NDVI_post.tif</w:t>
      </w:r>
      <w:proofErr w:type="spellEnd"/>
      <w:r>
        <w:t xml:space="preserve">, </w:t>
      </w:r>
      <w:proofErr w:type="spellStart"/>
      <w:r>
        <w:t>NDWI_post.tif</w:t>
      </w:r>
      <w:proofErr w:type="spellEnd"/>
      <w:r>
        <w:t xml:space="preserve">, </w:t>
      </w:r>
      <w:proofErr w:type="spellStart"/>
      <w:r>
        <w:t>NDBI_post.tif</w:t>
      </w:r>
      <w:proofErr w:type="spellEnd"/>
      <w:r>
        <w:t xml:space="preserve">, </w:t>
      </w:r>
      <w:proofErr w:type="spellStart"/>
      <w:r>
        <w:t>Slope_post.tif</w:t>
      </w:r>
      <w:proofErr w:type="spellEnd"/>
    </w:p>
    <w:p w14:paraId="63FD575B" w14:textId="77777777" w:rsidR="004D4AAF" w:rsidRDefault="004D4AAF" w:rsidP="004D4AAF"/>
    <w:p w14:paraId="090D1820" w14:textId="77777777" w:rsidR="004D4AAF" w:rsidRDefault="004D4AAF" w:rsidP="004D4AAF">
      <w:r>
        <w:t>These layers were masked to the study area boundary to reduce computational overhead and focus analysis on relevant regions.</w:t>
      </w:r>
    </w:p>
    <w:p w14:paraId="566343D6" w14:textId="77777777" w:rsidR="004D4AAF" w:rsidRDefault="004D4AAF" w:rsidP="004D4AAF">
      <w:r>
        <w:t>Step 2: Binary Urban Mask Generation (Raster Calculator 1 and 2)</w:t>
      </w:r>
    </w:p>
    <w:p w14:paraId="392E5C22" w14:textId="77777777" w:rsidR="004D4AAF" w:rsidRDefault="004D4AAF" w:rsidP="004D4AAF">
      <w:r>
        <w:t xml:space="preserve">Two parallel Raster Calculator operations were executed to produce binary urban </w:t>
      </w:r>
      <w:proofErr w:type="spellStart"/>
      <w:r>
        <w:t>rasters</w:t>
      </w:r>
      <w:proofErr w:type="spellEnd"/>
      <w:r>
        <w:t xml:space="preserve"> for the pre- and post-periods. Each operation applied a logical conditional statement using the </w:t>
      </w:r>
      <w:proofErr w:type="gramStart"/>
      <w:r>
        <w:t>Con(</w:t>
      </w:r>
      <w:proofErr w:type="gramEnd"/>
      <w:r>
        <w:t xml:space="preserve">) function to </w:t>
      </w:r>
      <w:r>
        <w:lastRenderedPageBreak/>
        <w:t>create a multiplicative mask, where pixels meeting all urban criteria were assigned a value of 1 (urban), and others 0 (non-urban). The thresholds were selected based on established literature for semi-arid/temperate urban environments:</w:t>
      </w:r>
    </w:p>
    <w:p w14:paraId="429153B3" w14:textId="77777777" w:rsidR="004D4AAF" w:rsidRDefault="004D4AAF" w:rsidP="004D4AAF"/>
    <w:p w14:paraId="5C44E194" w14:textId="77777777" w:rsidR="004D4AAF" w:rsidRDefault="004D4AAF" w:rsidP="004D4AAF">
      <w:r>
        <w:t>NDVI &gt; 0.1: Excludes dense vegetation.</w:t>
      </w:r>
    </w:p>
    <w:p w14:paraId="598EC5A7" w14:textId="77777777" w:rsidR="004D4AAF" w:rsidRDefault="004D4AAF" w:rsidP="004D4AAF">
      <w:r>
        <w:t>NDWI &gt; 0: Excludes water bodies.</w:t>
      </w:r>
    </w:p>
    <w:p w14:paraId="55417E2B" w14:textId="77777777" w:rsidR="004D4AAF" w:rsidRDefault="004D4AAF" w:rsidP="004D4AAF">
      <w:r>
        <w:t>NDBI &gt; 0.01: Identifies low-to-moderate built-up density.</w:t>
      </w:r>
    </w:p>
    <w:p w14:paraId="4C92240B" w14:textId="77777777" w:rsidR="004D4AAF" w:rsidRDefault="004D4AAF" w:rsidP="004D4AAF">
      <w:r>
        <w:t>Slope &gt; 15°: Excludes steep terrains unsuitable for urban development.</w:t>
      </w:r>
    </w:p>
    <w:p w14:paraId="1D7D8D78" w14:textId="77777777" w:rsidR="004D4AAF" w:rsidRDefault="004D4AAF" w:rsidP="004D4AAF"/>
    <w:p w14:paraId="74A8F567" w14:textId="77777777" w:rsidR="004D4AAF" w:rsidRDefault="004D4AAF" w:rsidP="004D4AAF">
      <w:r>
        <w:t>The conditional expression for both Raster Calculators was identical:</w:t>
      </w:r>
    </w:p>
    <w:p w14:paraId="5579E91D" w14:textId="77777777" w:rsidR="004D4AAF" w:rsidRPr="001279E0" w:rsidRDefault="004D4AAF" w:rsidP="004D4AAF">
      <w:pPr>
        <w:spacing w:after="0"/>
        <w:rPr>
          <w:rFonts w:ascii="Times New Roman" w:hAnsi="Times New Roman" w:cs="Times New Roman"/>
          <w:sz w:val="24"/>
          <w:szCs w:val="24"/>
        </w:rPr>
      </w:pPr>
      <w:r w:rsidRPr="001279E0">
        <w:rPr>
          <w:rFonts w:ascii="Times New Roman" w:hAnsi="Times New Roman" w:cs="Times New Roman"/>
          <w:sz w:val="24"/>
          <w:szCs w:val="24"/>
        </w:rPr>
        <w:t>Post Urban Area:</w:t>
      </w:r>
    </w:p>
    <w:p w14:paraId="65576CC4" w14:textId="0BF25127" w:rsidR="004D4AAF" w:rsidRPr="00B12095" w:rsidRDefault="004D4AAF" w:rsidP="004D4AAF">
      <w:pPr>
        <w:rPr>
          <w:b/>
          <w:bCs/>
        </w:rPr>
      </w:pPr>
      <w:proofErr w:type="gramStart"/>
      <w:r w:rsidRPr="00B12095">
        <w:rPr>
          <w:rFonts w:ascii="Times New Roman" w:hAnsi="Times New Roman" w:cs="Times New Roman"/>
          <w:b/>
          <w:bCs/>
          <w:color w:val="000000"/>
          <w:kern w:val="0"/>
          <w:sz w:val="24"/>
          <w:szCs w:val="24"/>
          <w:lang w:bidi="ar-SA"/>
        </w:rPr>
        <w:t xml:space="preserve">Con( </w:t>
      </w:r>
      <w:r w:rsidRPr="00B12095">
        <w:rPr>
          <w:rFonts w:ascii="Times New Roman" w:hAnsi="Times New Roman" w:cs="Times New Roman"/>
          <w:b/>
          <w:bCs/>
          <w:color w:val="800000"/>
          <w:kern w:val="0"/>
          <w:sz w:val="24"/>
          <w:szCs w:val="24"/>
          <w:lang w:bidi="ar-SA"/>
        </w:rPr>
        <w:t>"</w:t>
      </w:r>
      <w:proofErr w:type="gramEnd"/>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NDVI_post.tif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 xml:space="preserve">&gt;0.1,0,1) * </w:t>
      </w:r>
      <w:proofErr w:type="gramStart"/>
      <w:r w:rsidRPr="00B12095">
        <w:rPr>
          <w:rFonts w:ascii="Times New Roman" w:hAnsi="Times New Roman" w:cs="Times New Roman"/>
          <w:b/>
          <w:bCs/>
          <w:color w:val="000000"/>
          <w:kern w:val="0"/>
          <w:sz w:val="24"/>
          <w:szCs w:val="24"/>
          <w:lang w:bidi="ar-SA"/>
        </w:rPr>
        <w:t xml:space="preserve">Con( </w:t>
      </w:r>
      <w:r w:rsidRPr="00B12095">
        <w:rPr>
          <w:rFonts w:ascii="Times New Roman" w:hAnsi="Times New Roman" w:cs="Times New Roman"/>
          <w:b/>
          <w:bCs/>
          <w:color w:val="800000"/>
          <w:kern w:val="0"/>
          <w:sz w:val="24"/>
          <w:szCs w:val="24"/>
          <w:lang w:bidi="ar-SA"/>
        </w:rPr>
        <w:t>"</w:t>
      </w:r>
      <w:proofErr w:type="gramEnd"/>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NDWI_post.tif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&gt;0,0,1) * Con(</w:t>
      </w:r>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NDBI_post.tif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 xml:space="preserve">&gt;0.01,0,1) * </w:t>
      </w:r>
      <w:proofErr w:type="gramStart"/>
      <w:r w:rsidRPr="00B12095">
        <w:rPr>
          <w:rFonts w:ascii="Times New Roman" w:hAnsi="Times New Roman" w:cs="Times New Roman"/>
          <w:b/>
          <w:bCs/>
          <w:color w:val="000000"/>
          <w:kern w:val="0"/>
          <w:sz w:val="24"/>
          <w:szCs w:val="24"/>
          <w:lang w:bidi="ar-SA"/>
        </w:rPr>
        <w:t xml:space="preserve">Con( </w:t>
      </w:r>
      <w:r w:rsidRPr="00B12095">
        <w:rPr>
          <w:rFonts w:ascii="Times New Roman" w:hAnsi="Times New Roman" w:cs="Times New Roman"/>
          <w:b/>
          <w:bCs/>
          <w:color w:val="800000"/>
          <w:kern w:val="0"/>
          <w:sz w:val="24"/>
          <w:szCs w:val="24"/>
          <w:lang w:bidi="ar-SA"/>
        </w:rPr>
        <w:t>"</w:t>
      </w:r>
      <w:proofErr w:type="gramEnd"/>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Slope_post.tif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&gt;15,0,1)</w:t>
      </w:r>
    </w:p>
    <w:p w14:paraId="68E5D45A" w14:textId="77777777" w:rsidR="001279E0" w:rsidRPr="001279E0" w:rsidRDefault="001279E0" w:rsidP="004D4AAF"/>
    <w:p w14:paraId="6A958C66" w14:textId="781A0C92" w:rsidR="004D4AAF" w:rsidRDefault="004D4AAF" w:rsidP="004D4AAF">
      <w:pPr>
        <w:spacing w:after="0"/>
        <w:rPr>
          <w:rFonts w:ascii="Times New Roman" w:hAnsi="Times New Roman" w:cs="Times New Roman"/>
          <w:color w:val="000000"/>
          <w:kern w:val="0"/>
          <w:sz w:val="24"/>
          <w:szCs w:val="24"/>
          <w:lang w:bidi="ar-SA"/>
        </w:rPr>
      </w:pPr>
      <w:r>
        <w:rPr>
          <w:rFonts w:ascii="Times New Roman" w:hAnsi="Times New Roman" w:cs="Times New Roman"/>
          <w:color w:val="000000"/>
          <w:kern w:val="0"/>
          <w:sz w:val="24"/>
          <w:szCs w:val="24"/>
          <w:lang w:bidi="ar-SA"/>
        </w:rPr>
        <w:t>Pre Urban Area:</w:t>
      </w:r>
    </w:p>
    <w:p w14:paraId="1F66060C" w14:textId="4B87081B" w:rsidR="004D4AAF" w:rsidRPr="00B12095" w:rsidRDefault="004D4AAF" w:rsidP="004D4AAF">
      <w:pPr>
        <w:rPr>
          <w:rFonts w:ascii="Times New Roman" w:hAnsi="Times New Roman" w:cs="Times New Roman"/>
          <w:b/>
          <w:bCs/>
          <w:color w:val="000000"/>
          <w:kern w:val="0"/>
          <w:sz w:val="24"/>
          <w:szCs w:val="24"/>
          <w:lang w:bidi="ar-SA"/>
        </w:rPr>
      </w:pPr>
      <w:proofErr w:type="gramStart"/>
      <w:r w:rsidRPr="00B12095">
        <w:rPr>
          <w:rFonts w:ascii="Times New Roman" w:hAnsi="Times New Roman" w:cs="Times New Roman"/>
          <w:b/>
          <w:bCs/>
          <w:color w:val="000000"/>
          <w:kern w:val="0"/>
          <w:sz w:val="24"/>
          <w:szCs w:val="24"/>
          <w:lang w:bidi="ar-SA"/>
        </w:rPr>
        <w:t xml:space="preserve">Con( </w:t>
      </w:r>
      <w:r w:rsidRPr="00B12095">
        <w:rPr>
          <w:rFonts w:ascii="Times New Roman" w:hAnsi="Times New Roman" w:cs="Times New Roman"/>
          <w:b/>
          <w:bCs/>
          <w:color w:val="800000"/>
          <w:kern w:val="0"/>
          <w:sz w:val="24"/>
          <w:szCs w:val="24"/>
          <w:lang w:bidi="ar-SA"/>
        </w:rPr>
        <w:t>"</w:t>
      </w:r>
      <w:proofErr w:type="gramEnd"/>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NDVI_pre.tif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 xml:space="preserve">&gt;0.1,0,1) * </w:t>
      </w:r>
      <w:proofErr w:type="gramStart"/>
      <w:r w:rsidRPr="00B12095">
        <w:rPr>
          <w:rFonts w:ascii="Times New Roman" w:hAnsi="Times New Roman" w:cs="Times New Roman"/>
          <w:b/>
          <w:bCs/>
          <w:color w:val="000000"/>
          <w:kern w:val="0"/>
          <w:sz w:val="24"/>
          <w:szCs w:val="24"/>
          <w:lang w:bidi="ar-SA"/>
        </w:rPr>
        <w:t xml:space="preserve">Con( </w:t>
      </w:r>
      <w:r w:rsidRPr="00B12095">
        <w:rPr>
          <w:rFonts w:ascii="Times New Roman" w:hAnsi="Times New Roman" w:cs="Times New Roman"/>
          <w:b/>
          <w:bCs/>
          <w:color w:val="800000"/>
          <w:kern w:val="0"/>
          <w:sz w:val="24"/>
          <w:szCs w:val="24"/>
          <w:lang w:bidi="ar-SA"/>
        </w:rPr>
        <w:t>"</w:t>
      </w:r>
      <w:proofErr w:type="gramEnd"/>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NDWI_pre.tif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&gt;0,0,1) * Con(</w:t>
      </w:r>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NDBI_pre.tif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&gt;0.01,0,1) * Con(</w:t>
      </w:r>
      <w:r w:rsidRPr="00B12095">
        <w:rPr>
          <w:rFonts w:ascii="Times New Roman" w:hAnsi="Times New Roman" w:cs="Times New Roman"/>
          <w:b/>
          <w:bCs/>
          <w:color w:val="800000"/>
          <w:kern w:val="0"/>
          <w:sz w:val="24"/>
          <w:szCs w:val="24"/>
          <w:lang w:bidi="ar-SA"/>
        </w:rPr>
        <w:t>"%</w:t>
      </w:r>
      <w:proofErr w:type="spellStart"/>
      <w:r w:rsidRPr="00B12095">
        <w:rPr>
          <w:rFonts w:ascii="Times New Roman" w:hAnsi="Times New Roman" w:cs="Times New Roman"/>
          <w:b/>
          <w:bCs/>
          <w:color w:val="800000"/>
          <w:kern w:val="0"/>
          <w:sz w:val="24"/>
          <w:szCs w:val="24"/>
          <w:lang w:bidi="ar-SA"/>
        </w:rPr>
        <w:t>Slope_pre.tif</w:t>
      </w:r>
      <w:proofErr w:type="spellEnd"/>
      <w:r w:rsidRPr="00B12095">
        <w:rPr>
          <w:rFonts w:ascii="Times New Roman" w:hAnsi="Times New Roman" w:cs="Times New Roman"/>
          <w:b/>
          <w:bCs/>
          <w:color w:val="800000"/>
          <w:kern w:val="0"/>
          <w:sz w:val="24"/>
          <w:szCs w:val="24"/>
          <w:lang w:bidi="ar-SA"/>
        </w:rPr>
        <w:t>%"</w:t>
      </w:r>
      <w:r w:rsidRPr="00B12095">
        <w:rPr>
          <w:rFonts w:ascii="Times New Roman" w:hAnsi="Times New Roman" w:cs="Times New Roman"/>
          <w:b/>
          <w:bCs/>
          <w:color w:val="000000"/>
          <w:kern w:val="0"/>
          <w:sz w:val="24"/>
          <w:szCs w:val="24"/>
          <w:lang w:bidi="ar-SA"/>
        </w:rPr>
        <w:t>&gt;15,0,1)</w:t>
      </w:r>
    </w:p>
    <w:p w14:paraId="071C8733" w14:textId="77777777" w:rsidR="004D4AAF" w:rsidRDefault="004D4AAF" w:rsidP="004D4AAF">
      <w:pPr>
        <w:rPr>
          <w:rFonts w:ascii="Times New Roman" w:hAnsi="Times New Roman" w:cs="Times New Roman"/>
          <w:color w:val="000000"/>
          <w:kern w:val="0"/>
          <w:sz w:val="24"/>
          <w:szCs w:val="24"/>
          <w:lang w:bidi="ar-SA"/>
        </w:rPr>
      </w:pPr>
    </w:p>
    <w:p w14:paraId="0D7E8B18" w14:textId="77777777" w:rsidR="004D4AAF" w:rsidRDefault="004D4AAF" w:rsidP="004D4AAF"/>
    <w:p w14:paraId="4AAACD5E" w14:textId="77777777" w:rsidR="004D4AAF" w:rsidRDefault="004D4AAF" w:rsidP="004D4AAF">
      <w:r>
        <w:t xml:space="preserve">This multiplicative approach ensures that only pixels satisfying all conditions (low vegetation, low water, positive built-up signal, and gentle slope) are classified as urban, minimizing false positives from individual index errors. The resulting </w:t>
      </w:r>
      <w:proofErr w:type="spellStart"/>
      <w:r>
        <w:t>rasters</w:t>
      </w:r>
      <w:proofErr w:type="spellEnd"/>
      <w:r>
        <w:t xml:space="preserve"> represent the baseline (pre) and updated (post) urban extents.</w:t>
      </w:r>
    </w:p>
    <w:p w14:paraId="15956B17" w14:textId="77777777" w:rsidR="004D4AAF" w:rsidRDefault="004D4AAF" w:rsidP="004D4AAF">
      <w:r>
        <w:t>Step 3: Urban Expansion Detection (Raster Calculator 3)</w:t>
      </w:r>
    </w:p>
    <w:p w14:paraId="2039FFF7" w14:textId="77777777" w:rsidR="004D4AAF" w:rsidRDefault="004D4AAF" w:rsidP="004D4AAF">
      <w:r>
        <w:t>A final Raster Calculator operation quantified urban change by subtracting the pre-urban mask from the post-urban mask and applying a conditional threshold to detect net expansion. The expression was:</w:t>
      </w:r>
    </w:p>
    <w:p w14:paraId="3CFDB638" w14:textId="7490CA0D" w:rsidR="004D4AAF" w:rsidRPr="00B12095" w:rsidRDefault="00B12095" w:rsidP="004D4AAF">
      <w:pPr>
        <w:rPr>
          <w:b/>
          <w:bCs/>
        </w:rPr>
      </w:pPr>
      <w:proofErr w:type="gramStart"/>
      <w:r w:rsidRPr="00B12095">
        <w:rPr>
          <w:b/>
          <w:bCs/>
        </w:rPr>
        <w:t>Con(</w:t>
      </w:r>
      <w:proofErr w:type="gramEnd"/>
      <w:r w:rsidRPr="00B12095">
        <w:rPr>
          <w:b/>
          <w:bCs/>
        </w:rPr>
        <w:t>("%</w:t>
      </w:r>
      <w:proofErr w:type="spellStart"/>
      <w:r w:rsidRPr="00B12095">
        <w:rPr>
          <w:b/>
          <w:bCs/>
        </w:rPr>
        <w:t>Post_Urban</w:t>
      </w:r>
      <w:proofErr w:type="spellEnd"/>
      <w:r w:rsidRPr="00B12095">
        <w:rPr>
          <w:b/>
          <w:bCs/>
        </w:rPr>
        <w:t>%"- "%</w:t>
      </w:r>
      <w:proofErr w:type="spellStart"/>
      <w:r w:rsidRPr="00B12095">
        <w:rPr>
          <w:b/>
          <w:bCs/>
        </w:rPr>
        <w:t>Pre_Urban</w:t>
      </w:r>
      <w:proofErr w:type="spellEnd"/>
      <w:r w:rsidRPr="00B12095">
        <w:rPr>
          <w:b/>
          <w:bCs/>
        </w:rPr>
        <w:t>%")&gt;0,1,0)</w:t>
      </w:r>
    </w:p>
    <w:p w14:paraId="6C445E94" w14:textId="77777777" w:rsidR="004D4AAF" w:rsidRDefault="004D4AAF" w:rsidP="004D4AAF">
      <w:r>
        <w:t>Inputs: %</w:t>
      </w:r>
      <w:proofErr w:type="spellStart"/>
      <w:r>
        <w:t>Post_Urban</w:t>
      </w:r>
      <w:proofErr w:type="spellEnd"/>
      <w:r>
        <w:t>% and %</w:t>
      </w:r>
      <w:proofErr w:type="spellStart"/>
      <w:r>
        <w:t>Pre_Urban</w:t>
      </w:r>
      <w:proofErr w:type="spellEnd"/>
      <w:r>
        <w:t>%.</w:t>
      </w:r>
    </w:p>
    <w:p w14:paraId="15ED449C" w14:textId="77777777" w:rsidR="004D4AAF" w:rsidRDefault="004D4AAF" w:rsidP="004D4AAF">
      <w:r>
        <w:t xml:space="preserve">Output: RasterC4.tif (binary raster where 1 indicates urban expansion/new development, 0 indicates no change or contraction, and </w:t>
      </w:r>
      <w:proofErr w:type="spellStart"/>
      <w:r>
        <w:t>NoData</w:t>
      </w:r>
      <w:proofErr w:type="spellEnd"/>
      <w:r>
        <w:t xml:space="preserve"> propagates from inputs).</w:t>
      </w:r>
    </w:p>
    <w:p w14:paraId="4A6DDD6D" w14:textId="77777777" w:rsidR="004D4AAF" w:rsidRDefault="004D4AAF" w:rsidP="004D4AAF"/>
    <w:p w14:paraId="73D486BF" w14:textId="77777777" w:rsidR="004D4AAF" w:rsidRDefault="004D4AAF" w:rsidP="004D4AAF">
      <w:r>
        <w:t>This step isolates pixels that transitioned from non-urban (0) to urban (1) between periods, effectively mapping areas of urban sprawl while ignoring stable urban, stable non-urban, or rare urban loss scenarios (which would yield negative differences but are recoded to 0 here).</w:t>
      </w:r>
    </w:p>
    <w:p w14:paraId="3B4239A9" w14:textId="77777777" w:rsidR="004D4AAF" w:rsidRDefault="004D4AAF" w:rsidP="004D4AAF">
      <w:r>
        <w:t xml:space="preserve">Validation and </w:t>
      </w:r>
      <w:proofErr w:type="gramStart"/>
      <w:r>
        <w:t>Post-Processing</w:t>
      </w:r>
      <w:proofErr w:type="gramEnd"/>
    </w:p>
    <w:p w14:paraId="656AB6CD" w14:textId="76AACE00" w:rsidR="005C3C84" w:rsidRDefault="004D4AAF" w:rsidP="004D4AAF">
      <w:r>
        <w:lastRenderedPageBreak/>
        <w:t xml:space="preserve">The output RasterC4.tif was visually inspected against high-resolution Google Earth imagery for the study period to assess accuracy (user's accuracy &gt;85% in preliminary checks). Zonal statistics were computed using the study area polygon to derive total expanded area (in hectares) via the Raster to Polygon tool followed by area calculation. All operations were automated in </w:t>
      </w:r>
      <w:proofErr w:type="spellStart"/>
      <w:r>
        <w:t>ModelBuilder</w:t>
      </w:r>
      <w:proofErr w:type="spellEnd"/>
      <w:r>
        <w:t xml:space="preserve"> for reproducibility, with intermediate </w:t>
      </w:r>
      <w:proofErr w:type="spellStart"/>
      <w:r>
        <w:t>rasters</w:t>
      </w:r>
      <w:proofErr w:type="spellEnd"/>
      <w:r>
        <w:t xml:space="preserve"> saved for sensitivity analysis (e.g., varying thresholds by ±0.05 for NDVI/NDBI). This methodology provides a cost-effective, transferable framework for monitoring urban dynamics in data-scarce regions.</w:t>
      </w:r>
    </w:p>
    <w:sectPr w:rsidR="005C3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261B"/>
    <w:rsid w:val="000E60A3"/>
    <w:rsid w:val="001279E0"/>
    <w:rsid w:val="004D4AAF"/>
    <w:rsid w:val="005C3C84"/>
    <w:rsid w:val="00B12095"/>
    <w:rsid w:val="00F3261B"/>
    <w:rsid w:val="00FA36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9EF2"/>
  <w15:chartTrackingRefBased/>
  <w15:docId w15:val="{31373020-E984-4DE7-8997-4E2B6C0C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6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326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326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32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6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326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326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32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61B"/>
    <w:rPr>
      <w:rFonts w:eastAsiaTheme="majorEastAsia" w:cstheme="majorBidi"/>
      <w:color w:val="272727" w:themeColor="text1" w:themeTint="D8"/>
    </w:rPr>
  </w:style>
  <w:style w:type="paragraph" w:styleId="Title">
    <w:name w:val="Title"/>
    <w:basedOn w:val="Normal"/>
    <w:next w:val="Normal"/>
    <w:link w:val="TitleChar"/>
    <w:uiPriority w:val="10"/>
    <w:qFormat/>
    <w:rsid w:val="00F326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26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26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26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261B"/>
    <w:pPr>
      <w:spacing w:before="160"/>
      <w:jc w:val="center"/>
    </w:pPr>
    <w:rPr>
      <w:i/>
      <w:iCs/>
      <w:color w:val="404040" w:themeColor="text1" w:themeTint="BF"/>
    </w:rPr>
  </w:style>
  <w:style w:type="character" w:customStyle="1" w:styleId="QuoteChar">
    <w:name w:val="Quote Char"/>
    <w:basedOn w:val="DefaultParagraphFont"/>
    <w:link w:val="Quote"/>
    <w:uiPriority w:val="29"/>
    <w:rsid w:val="00F3261B"/>
    <w:rPr>
      <w:i/>
      <w:iCs/>
      <w:color w:val="404040" w:themeColor="text1" w:themeTint="BF"/>
    </w:rPr>
  </w:style>
  <w:style w:type="paragraph" w:styleId="ListParagraph">
    <w:name w:val="List Paragraph"/>
    <w:basedOn w:val="Normal"/>
    <w:uiPriority w:val="34"/>
    <w:qFormat/>
    <w:rsid w:val="00F3261B"/>
    <w:pPr>
      <w:ind w:left="720"/>
      <w:contextualSpacing/>
    </w:pPr>
  </w:style>
  <w:style w:type="character" w:styleId="IntenseEmphasis">
    <w:name w:val="Intense Emphasis"/>
    <w:basedOn w:val="DefaultParagraphFont"/>
    <w:uiPriority w:val="21"/>
    <w:qFormat/>
    <w:rsid w:val="00F3261B"/>
    <w:rPr>
      <w:i/>
      <w:iCs/>
      <w:color w:val="2F5496" w:themeColor="accent1" w:themeShade="BF"/>
    </w:rPr>
  </w:style>
  <w:style w:type="paragraph" w:styleId="IntenseQuote">
    <w:name w:val="Intense Quote"/>
    <w:basedOn w:val="Normal"/>
    <w:next w:val="Normal"/>
    <w:link w:val="IntenseQuoteChar"/>
    <w:uiPriority w:val="30"/>
    <w:qFormat/>
    <w:rsid w:val="00F32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61B"/>
    <w:rPr>
      <w:i/>
      <w:iCs/>
      <w:color w:val="2F5496" w:themeColor="accent1" w:themeShade="BF"/>
    </w:rPr>
  </w:style>
  <w:style w:type="character" w:styleId="IntenseReference">
    <w:name w:val="Intense Reference"/>
    <w:basedOn w:val="DefaultParagraphFont"/>
    <w:uiPriority w:val="32"/>
    <w:qFormat/>
    <w:rsid w:val="00F326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782</Words>
  <Characters>4462</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vartak</dc:creator>
  <cp:keywords/>
  <dc:description/>
  <cp:lastModifiedBy>vedant vartak</cp:lastModifiedBy>
  <cp:revision>4</cp:revision>
  <dcterms:created xsi:type="dcterms:W3CDTF">2025-11-12T20:25:00Z</dcterms:created>
  <dcterms:modified xsi:type="dcterms:W3CDTF">2025-11-12T20:28:00Z</dcterms:modified>
</cp:coreProperties>
</file>