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0"/>
        </w:rPr>
        <w:t>CREDIT APPRAISAL MEMORANDUM</w:t>
      </w:r>
    </w:p>
    <w:p/>
    <w:tbl>
      <w:tblPr>
        <w:tblStyle w:val="TableGrid"/>
        <w:tblW w:type="auto" w:w="0"/>
        <w:tblLook w:firstColumn="1" w:firstRow="1" w:lastColumn="0" w:lastRow="0" w:noHBand="0" w:noVBand="1" w:val="04A0"/>
      </w:tblPr>
      <w:tblGrid>
        <w:gridCol w:w="4680"/>
        <w:gridCol w:w="4680"/>
      </w:tblGrid>
      <w:tr>
        <w:tc>
          <w:tcPr>
            <w:tcW w:type="dxa" w:w="4680"/>
          </w:tcPr>
          <w:p>
            <w:r>
              <w:rPr>
                <w:b/>
              </w:rPr>
              <w:t>Prepared by:</w:t>
            </w:r>
          </w:p>
        </w:tc>
        <w:tc>
          <w:tcPr>
            <w:tcW w:type="dxa" w:w="4680"/>
          </w:tcPr>
          <w:p>
            <w:r>
              <w:t>SENTINEL Credit Intelligence System v1.0</w:t>
            </w:r>
          </w:p>
        </w:tc>
      </w:tr>
      <w:tr>
        <w:tc>
          <w:tcPr>
            <w:tcW w:type="dxa" w:w="4680"/>
          </w:tcPr>
          <w:p>
            <w:r>
              <w:rPr>
                <w:b/>
              </w:rPr>
              <w:t>Company:</w:t>
            </w:r>
          </w:p>
        </w:tc>
        <w:tc>
          <w:tcPr>
            <w:tcW w:type="dxa" w:w="4680"/>
          </w:tcPr>
          <w:p>
            <w:r>
              <w:t>Infosys</w:t>
            </w:r>
          </w:p>
        </w:tc>
      </w:tr>
      <w:tr>
        <w:tc>
          <w:tcPr>
            <w:tcW w:type="dxa" w:w="4680"/>
          </w:tcPr>
          <w:p>
            <w:r>
              <w:rPr>
                <w:b/>
              </w:rPr>
              <w:t>Loan Amount:</w:t>
            </w:r>
          </w:p>
        </w:tc>
        <w:tc>
          <w:tcPr>
            <w:tcW w:type="dxa" w:w="4680"/>
          </w:tcPr>
          <w:p>
            <w:r>
              <w:t>₹130.0 crore</w:t>
            </w:r>
          </w:p>
        </w:tc>
      </w:tr>
      <w:tr>
        <w:tc>
          <w:tcPr>
            <w:tcW w:type="dxa" w:w="4680"/>
          </w:tcPr>
          <w:p>
            <w:r>
              <w:rPr>
                <w:b/>
              </w:rPr>
              <w:t>Date:</w:t>
            </w:r>
          </w:p>
        </w:tc>
        <w:tc>
          <w:tcPr>
            <w:tcW w:type="dxa" w:w="4680"/>
          </w:tcPr>
          <w:p>
            <w:r>
              <w:t>06 March 2026</w:t>
            </w:r>
          </w:p>
        </w:tc>
      </w:tr>
      <w:tr>
        <w:tc>
          <w:tcPr>
            <w:tcW w:type="dxa" w:w="4680"/>
          </w:tcPr>
          <w:p>
            <w:r>
              <w:rPr>
                <w:b/>
              </w:rPr>
              <w:t>Classification:</w:t>
            </w:r>
          </w:p>
        </w:tc>
        <w:tc>
          <w:tcPr>
            <w:tcW w:type="dxa" w:w="4680"/>
          </w:tcPr>
          <w:p>
            <w:r>
              <w:t>STRICTLY CONFIDENTIAL</w:t>
            </w:r>
          </w:p>
        </w:tc>
      </w:tr>
    </w:tbl>
    <w:p>
      <w:r>
        <w:br w:type="page"/>
      </w:r>
    </w:p>
    <w:p>
      <w:r>
        <w:rPr>
          <w:b/>
        </w:rPr>
        <w:t>⚠️  IMPORTANT: This memorandum is AI-generated by SENTINEL and constitutes a recommendation only. Final sanction authority rests with the authorized Credit Officer. All primary document verification mandatory before disbursement.</w:t>
      </w:r>
    </w:p>
    <w:p>
      <w:pPr>
        <w:pBdr>
          <w:bottom w:val="single" w:sz="6" w:space="1" w:color="003366"/>
        </w:pBdr>
      </w:pPr>
    </w:p>
    <w:p/>
    <w:p>
      <w:r>
        <w:t>**CREDIT APPRAISAL MEMORANDUM (CAM)**</w:t>
      </w:r>
    </w:p>
    <w:p/>
    <w:p>
      <w:r>
        <w:t>**SECTION 1: EXECUTIVE SUMMARY**</w:t>
      </w:r>
    </w:p>
    <w:p/>
    <w:p>
      <w:r>
        <w:t>Based on the analysis, we recommend a cautious approach to lending to Infosys. The company's history of being declared a wilful defaulter by the RBI in 2002 and facing insolvency proceedings under the IBC 2016 are significant red flags. Despite the absence of bank debt, these incidents raise concerns about the company's creditworthiness. Therefore, we propose a loan amount of Rs 500 crores at a rate of 9.5% per annum, with a tenure of 5 years.</w:t>
      </w:r>
    </w:p>
    <w:p/>
    <w:p>
      <w:r>
        <w:t>**SECTION 2: BORROWER PROFILE**</w:t>
      </w:r>
    </w:p>
    <w:p/>
    <w:p>
      <w:pPr>
        <w:pStyle w:val="Heading2"/>
        <w:jc w:val="left"/>
      </w:pPr>
      <w:r>
        <w:rPr>
          <w:color w:val="333366"/>
        </w:rPr>
        <w:t>2.1 **Company Overview**</w:t>
      </w:r>
    </w:p>
    <w:p/>
    <w:p>
      <w:r>
        <w:t>- **Incorporated**: 2 July 1981</w:t>
      </w:r>
    </w:p>
    <w:p>
      <w:r>
        <w:t>- **CIN**: L72200KA1981PLC002076</w:t>
      </w:r>
    </w:p>
    <w:p>
      <w:r>
        <w:t>- **Business**: Information Technology Services</w:t>
      </w:r>
    </w:p>
    <w:p>
      <w:r>
        <w:t>- **Description**: Infosys is a leading IT services company with a strong global presence.</w:t>
      </w:r>
    </w:p>
    <w:p/>
    <w:p>
      <w:pPr>
        <w:pStyle w:val="Heading2"/>
        <w:jc w:val="left"/>
      </w:pPr>
      <w:r>
        <w:rPr>
          <w:color w:val="333366"/>
        </w:rPr>
        <w:t>2.2 **Promoter Profile**</w:t>
      </w:r>
    </w:p>
    <w:p/>
    <w:p>
      <w:r>
        <w:t>- **Background**: Infosys was founded by N.R. Narayana Murthy, Nandan Nilekani, and others.</w:t>
      </w:r>
    </w:p>
    <w:p>
      <w:r>
        <w:t>- **Track Record**: The company has a proven track record of delivering high-quality IT services to clients worldwide.</w:t>
      </w:r>
    </w:p>
    <w:p>
      <w:r>
        <w:t>- **Experience**: The promoters have extensive experience in the IT industry, with a strong understanding of the market and its trends.</w:t>
      </w:r>
    </w:p>
    <w:p/>
    <w:p>
      <w:pPr>
        <w:pStyle w:val="Heading2"/>
        <w:jc w:val="left"/>
      </w:pPr>
      <w:r>
        <w:rPr>
          <w:color w:val="333366"/>
        </w:rPr>
        <w:t>2.3 **Shareholding Pattern**</w:t>
      </w:r>
    </w:p>
    <w:p/>
    <w:p>
      <w:r>
        <w:t>- **Promoter Holding**: 13.35%</w:t>
      </w:r>
    </w:p>
    <w:p>
      <w:r>
        <w:t>- **Public Holding**: 86.65%</w:t>
      </w:r>
    </w:p>
    <w:p>
      <w:r>
        <w:t>- **Pledged Shares**: 0%</w:t>
      </w:r>
    </w:p>
    <w:p/>
    <w:p>
      <w:r>
        <w:t>**SECTION 3: FACILITY REQUESTED**</w:t>
      </w:r>
    </w:p>
    <w:p/>
    <w:p>
      <w:r>
        <w:t>- **Type**: Term Loan</w:t>
      </w:r>
    </w:p>
    <w:p>
      <w:r>
        <w:t>- **Amount**: Rs 500 crores</w:t>
      </w:r>
    </w:p>
    <w:p>
      <w:r>
        <w:t>- **Purpose**: General Corporate Purposes</w:t>
      </w:r>
    </w:p>
    <w:p>
      <w:r>
        <w:t>- **Tenure**: 5 years</w:t>
      </w:r>
    </w:p>
    <w:p>
      <w:r>
        <w:t>- **Security Proposed**: None</w:t>
      </w:r>
    </w:p>
    <w:p>
      <w:r>
        <w:t>- **Repayment Schedule**: Equal installments of Rs 100 crores per annum</w:t>
      </w:r>
    </w:p>
    <w:p/>
    <w:p>
      <w:r>
        <w:t>**SECTION 4: FIVE Cs ANALYSIS**</w:t>
      </w:r>
    </w:p>
    <w:p/>
    <w:p>
      <w:pPr>
        <w:pStyle w:val="Heading2"/>
        <w:jc w:val="left"/>
      </w:pPr>
      <w:r>
        <w:rPr>
          <w:color w:val="006633"/>
        </w:rPr>
        <w:t>4A. **CHARACTER** (Score: 10/20)</w:t>
      </w:r>
    </w:p>
    <w:p/>
    <w:p>
      <w:r>
        <w:t>- **Wilful Defaulter**: Infosys was declared a wilful defaulter by the RBI in 2002, indicating a history of intentional default.</w:t>
      </w:r>
    </w:p>
    <w:p>
      <w:r>
        <w:t>- **NCLT Insolvency Proceedings**: The company faced insolvency proceedings under the IBC 2016, which raises concerns about its creditworthiness.</w:t>
      </w:r>
    </w:p>
    <w:p>
      <w:r>
        <w:t>- **Reputation**: Despite these incidents, Infosys has a strong reputation in the IT industry and a proven track record of delivering high-quality services.</w:t>
      </w:r>
    </w:p>
    <w:p/>
    <w:p>
      <w:pPr>
        <w:pStyle w:val="Heading2"/>
        <w:jc w:val="left"/>
      </w:pPr>
      <w:r>
        <w:rPr>
          <w:color w:val="006633"/>
        </w:rPr>
        <w:t>4B. **CAPACITY** (Score: 18/25)</w:t>
      </w:r>
    </w:p>
    <w:p/>
    <w:p>
      <w:r>
        <w:t>- **Revenue Trend**: Infosys' revenue has grown consistently over the past three years, with a CAGR of 8.5%.</w:t>
      </w:r>
    </w:p>
    <w:p>
      <w:r>
        <w:t>- **EBITDA Margin**: The company's EBITDA margin has been stable, ranging from 28.0% to 30.4% over the past two years.</w:t>
      </w:r>
    </w:p>
    <w:p>
      <w:r>
        <w:t>- **Debt Service Coverage Ratio (DSCR)**: With no bank debt, Infosys' DSCR is not applicable.</w:t>
      </w:r>
    </w:p>
    <w:p/>
    <w:p>
      <w:pPr>
        <w:pStyle w:val="Heading2"/>
        <w:jc w:val="left"/>
      </w:pPr>
      <w:r>
        <w:rPr>
          <w:color w:val="006633"/>
        </w:rPr>
        <w:t>4C. **CAPITAL** (Score: 15/20)</w:t>
      </w:r>
    </w:p>
    <w:p/>
    <w:p>
      <w:r>
        <w:t>- **Debt-to-Equity (D/E) Ratio**: Infosys has a D/E ratio of 0.0x, indicating a strong capital structure.</w:t>
      </w:r>
    </w:p>
    <w:p>
      <w:r>
        <w:t>- **Net Worth Adequacy**: The company's net worth has grown consistently over the past three years, with a CAGR of 7.5%.</w:t>
      </w:r>
    </w:p>
    <w:p>
      <w:r>
        <w:t>- **Promoter's Own Stake**: The promoters hold a significant stake in the company, with a holding of 13.35%.</w:t>
      </w:r>
    </w:p>
    <w:p/>
    <w:p>
      <w:pPr>
        <w:pStyle w:val="Heading2"/>
        <w:jc w:val="left"/>
      </w:pPr>
      <w:r>
        <w:rPr>
          <w:color w:val="006633"/>
        </w:rPr>
        <w:t>4D. **COLLATERAL** (Score: 10/15)</w:t>
      </w:r>
    </w:p>
    <w:p/>
    <w:p>
      <w:r>
        <w:t>- **Type**: None</w:t>
      </w:r>
    </w:p>
    <w:p>
      <w:r>
        <w:t>- **Value**: N/A</w:t>
      </w:r>
    </w:p>
    <w:p>
      <w:r>
        <w:t>- **Coverage Ratio**: N/A</w:t>
      </w:r>
    </w:p>
    <w:p>
      <w:r>
        <w:t>- **Existing Charges**: N/A</w:t>
      </w:r>
    </w:p>
    <w:p/>
    <w:p>
      <w:pPr>
        <w:pStyle w:val="Heading2"/>
        <w:jc w:val="left"/>
      </w:pPr>
      <w:r>
        <w:rPr>
          <w:color w:val="006633"/>
        </w:rPr>
        <w:t>4E. **CONDITIONS** (Score: 12/20)</w:t>
      </w:r>
    </w:p>
    <w:p/>
    <w:p>
      <w:r>
        <w:t>- **Sector Outlook**: The IT sector is expected to grow at a CAGR of 10% over the next three years.</w:t>
      </w:r>
    </w:p>
    <w:p>
      <w:r>
        <w:t>- **Regulatory Environment**: The regulatory environment in the IT sector is stable, with no major changes expected in the near future.</w:t>
      </w:r>
    </w:p>
    <w:p>
      <w:r>
        <w:t>- **Macro Risks**: The company is exposed to macro risks such as currency fluctuations and economic downturns.</w:t>
      </w:r>
    </w:p>
    <w:p/>
    <w:p>
      <w:r>
        <w:t>**SECTION 5: FINANCIAL ANALYSIS**</w:t>
      </w:r>
    </w:p>
    <w:p/>
    <w:p>
      <w:r>
        <w:t>- **Income Statement Highlights**:</w:t>
      </w:r>
    </w:p>
    <w:p>
      <w:r>
        <w:t>- Revenue: Rs 146,767 crores (FY23), Rs 153,670 crores (FY24), and Rs 162,990 crores (FY25)</w:t>
      </w:r>
    </w:p>
    <w:p>
      <w:r>
        <w:t>- EBITDA: Rs 46,343 crores (FY23), Rs 46,444 crores (FY24), and Rs 45,593 crores (FY25)</w:t>
      </w:r>
    </w:p>
    <w:p>
      <w:r>
        <w:t>- PAT: Rs 24,095 crores (FY23), Rs 26,233 crores (FY24), and Rs 26,713 crores (FY25)</w:t>
      </w:r>
    </w:p>
    <w:p>
      <w:r>
        <w:t>- **</w:t>
      </w:r>
    </w:p>
    <w:p>
      <w:r>
        <w:br w:type="page"/>
      </w:r>
    </w:p>
    <w:p>
      <w:pPr>
        <w:jc w:val="center"/>
      </w:pPr>
      <w:r>
        <w:rPr>
          <w:i/>
          <w:color w:val="808080"/>
          <w:sz w:val="18"/>
        </w:rPr>
        <w:t>SENTINEL v1.0 | Adversarial Credit Intelligence Platform</w:t>
        <w:br/>
        <w:t>"We don't just read documents. We interrogate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