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CREDIT APPRAISAL MEMORANDUM</w:t>
      </w:r>
    </w:p>
    <w:p/>
    <w:tbl>
      <w:tblPr>
        <w:tblStyle w:val="TableGrid"/>
        <w:tblW w:type="auto" w:w="0"/>
        <w:tblLook w:firstColumn="1" w:firstRow="1" w:lastColumn="0" w:lastRow="0" w:noHBand="0" w:noVBand="1" w:val="04A0"/>
      </w:tblPr>
      <w:tblGrid>
        <w:gridCol w:w="4680"/>
        <w:gridCol w:w="4680"/>
      </w:tblGrid>
      <w:tr>
        <w:tc>
          <w:tcPr>
            <w:tcW w:type="dxa" w:w="4680"/>
          </w:tcPr>
          <w:p>
            <w:r>
              <w:rPr>
                <w:b/>
              </w:rPr>
              <w:t>Prepared by:</w:t>
            </w:r>
          </w:p>
        </w:tc>
        <w:tc>
          <w:tcPr>
            <w:tcW w:type="dxa" w:w="4680"/>
          </w:tcPr>
          <w:p>
            <w:r>
              <w:t>SENTINEL Credit Intelligence System v1.0</w:t>
            </w:r>
          </w:p>
        </w:tc>
      </w:tr>
      <w:tr>
        <w:tc>
          <w:tcPr>
            <w:tcW w:type="dxa" w:w="4680"/>
          </w:tcPr>
          <w:p>
            <w:r>
              <w:rPr>
                <w:b/>
              </w:rPr>
              <w:t>Company:</w:t>
            </w:r>
          </w:p>
        </w:tc>
        <w:tc>
          <w:tcPr>
            <w:tcW w:type="dxa" w:w="4680"/>
          </w:tcPr>
          <w:p>
            <w:r>
              <w:t>Infosys</w:t>
            </w:r>
          </w:p>
        </w:tc>
      </w:tr>
      <w:tr>
        <w:tc>
          <w:tcPr>
            <w:tcW w:type="dxa" w:w="4680"/>
          </w:tcPr>
          <w:p>
            <w:r>
              <w:rPr>
                <w:b/>
              </w:rPr>
              <w:t>Loan Amount:</w:t>
            </w:r>
          </w:p>
        </w:tc>
        <w:tc>
          <w:tcPr>
            <w:tcW w:type="dxa" w:w="4680"/>
          </w:tcPr>
          <w:p>
            <w:r>
              <w:t>₹20.0 crore</w:t>
            </w:r>
          </w:p>
        </w:tc>
      </w:tr>
      <w:tr>
        <w:tc>
          <w:tcPr>
            <w:tcW w:type="dxa" w:w="4680"/>
          </w:tcPr>
          <w:p>
            <w:r>
              <w:rPr>
                <w:b/>
              </w:rPr>
              <w:t>Date:</w:t>
            </w:r>
          </w:p>
        </w:tc>
        <w:tc>
          <w:tcPr>
            <w:tcW w:type="dxa" w:w="4680"/>
          </w:tcPr>
          <w:p>
            <w:r>
              <w:t>06 March 2026</w:t>
            </w:r>
          </w:p>
        </w:tc>
      </w:tr>
      <w:tr>
        <w:tc>
          <w:tcPr>
            <w:tcW w:type="dxa" w:w="4680"/>
          </w:tcPr>
          <w:p>
            <w:r>
              <w:rPr>
                <w:b/>
              </w:rPr>
              <w:t>Classification:</w:t>
            </w:r>
          </w:p>
        </w:tc>
        <w:tc>
          <w:tcPr>
            <w:tcW w:type="dxa" w:w="4680"/>
          </w:tcPr>
          <w:p>
            <w:r>
              <w:t>STRICTLY CONFIDENTIAL</w:t>
            </w:r>
          </w:p>
        </w:tc>
      </w:tr>
    </w:tbl>
    <w:p>
      <w:r>
        <w:br w:type="page"/>
      </w:r>
    </w:p>
    <w:p>
      <w:r>
        <w:rPr>
          <w:b/>
        </w:rPr>
        <w:t>⚠️  IMPORTANT: This memorandum is AI-generated by SENTINEL and constitutes a recommendation only. Final sanction authority rests with the authorized Credit Officer. All primary document verification mandatory before disbursement.</w:t>
      </w:r>
    </w:p>
    <w:p>
      <w:pPr>
        <w:pBdr>
          <w:bottom w:val="single" w:sz="6" w:space="1" w:color="003366"/>
        </w:pBdr>
      </w:pPr>
    </w:p>
    <w:p/>
    <w:p>
      <w:r>
        <w:t>**SECTION 1: EXECUTIVE SUMMARY**</w:t>
      </w:r>
    </w:p>
    <w:p>
      <w:r>
        <w:t>The credit committee recommends approval of a ₹20.0 crore loan to Infosys at a market-linked interest rate, with a tenure of 60 months, and a first charge on current assets plus a standby parent/personal guarantee as security. The primary reason for this decision is the company's strong financial health, excellent interest coverage ratio, and robust cash flow generation. The loan amount is proportional to the company's size, and the recommended terms are based on a thorough analysis of the company's financials and external intelligence.</w:t>
      </w:r>
    </w:p>
    <w:p/>
    <w:p>
      <w:r>
        <w:t>**SECTION 2: BORROWER PROFILE**</w:t>
      </w:r>
    </w:p>
    <w:p>
      <w:pPr>
        <w:pStyle w:val="Heading2"/>
        <w:jc w:val="left"/>
      </w:pPr>
      <w:r>
        <w:rPr>
          <w:color w:val="333366"/>
        </w:rPr>
        <w:t>2.1 Company Overview:</w:t>
      </w:r>
    </w:p>
    <w:p>
      <w:r>
        <w:t>Infosys is a leading IT services company incorporated in India, with a CIN of L85110KA1981PLC013115. The company is listed on the Bombay Stock Exchange and the National Stock Exchange of India. Infosys has a strong presence in the global IT services market, with a diverse range of services and a large client base.</w:t>
      </w:r>
    </w:p>
    <w:p>
      <w:pPr>
        <w:pStyle w:val="Heading2"/>
        <w:jc w:val="left"/>
      </w:pPr>
      <w:r>
        <w:rPr>
          <w:color w:val="333366"/>
        </w:rPr>
        <w:t>2.2 Promoter Profile:</w:t>
      </w:r>
    </w:p>
    <w:p>
      <w:r>
        <w:t>Salil Parekh is the CEO and Managing Director of Infosys, with a strong background in the IT industry. He has a proven track record of driving growth and innovation in the company.</w:t>
      </w:r>
    </w:p>
    <w:p>
      <w:pPr>
        <w:pStyle w:val="Heading2"/>
        <w:jc w:val="left"/>
      </w:pPr>
      <w:r>
        <w:rPr>
          <w:color w:val="333366"/>
        </w:rPr>
        <w:t>2.3 Shareholding Pattern:</w:t>
      </w:r>
    </w:p>
    <w:p>
      <w:r>
        <w:t>The promoter holding in Infosys is approximately 13.12%, with the remaining shares held by public shareholders and institutional investors. The company has a pledged share percentage of 0.01%.</w:t>
      </w:r>
    </w:p>
    <w:p/>
    <w:p>
      <w:r>
        <w:t>**SECTION 3: FACILITY REQUESTED**</w:t>
      </w:r>
    </w:p>
    <w:p>
      <w:r>
        <w:t>Type: Term Loan</w:t>
      </w:r>
    </w:p>
    <w:p>
      <w:r>
        <w:t>Amount: ₹20.0 crore</w:t>
      </w:r>
    </w:p>
    <w:p>
      <w:r>
        <w:t>Purpose: General corporate purposes</w:t>
      </w:r>
    </w:p>
    <w:p>
      <w:r>
        <w:t>Tenure: 60 months</w:t>
      </w:r>
    </w:p>
    <w:p>
      <w:r>
        <w:t>Security proposed: First charge on current assets plus a standby parent/personal guarantee</w:t>
      </w:r>
    </w:p>
    <w:p>
      <w:r>
        <w:t>Repayment schedule: Quarterly installments of ₹3.33 crore each</w:t>
      </w:r>
    </w:p>
    <w:p/>
    <w:p>
      <w:r>
        <w:t>**SECTION 4: FIVE Cs ANALYSIS**</w:t>
      </w:r>
    </w:p>
    <w:p>
      <w:pPr>
        <w:pStyle w:val="Heading2"/>
        <w:jc w:val="left"/>
      </w:pPr>
      <w:r>
        <w:rPr>
          <w:color w:val="006633"/>
        </w:rPr>
        <w:t>4A. CHARACTER [Score: 18/20]</w:t>
      </w:r>
    </w:p>
    <w:p>
      <w:r>
        <w:t>* Strong corporate governance practices</w:t>
      </w:r>
    </w:p>
    <w:p>
      <w:r>
        <w:t>* Excellent track record of financial performance</w:t>
      </w:r>
    </w:p>
    <w:p>
      <w:r>
        <w:t>* Robust internal controls and risk management systems</w:t>
      </w:r>
    </w:p>
    <w:p>
      <w:pPr>
        <w:pStyle w:val="Heading2"/>
        <w:jc w:val="left"/>
      </w:pPr>
      <w:r>
        <w:rPr>
          <w:color w:val="006633"/>
        </w:rPr>
        <w:t>4B. CAPACITY [Score: 23/25]</w:t>
      </w:r>
    </w:p>
    <w:p>
      <w:r>
        <w:t>* 3-year revenue/EBITDA trend: ₹1,46,767 crore (FY23), ₹1,53,670 crore (FY24), ₹1,62,990 crore (FY25)</w:t>
      </w:r>
    </w:p>
    <w:p>
      <w:r>
        <w:t>* DSCR: 161.4x (FY25)</w:t>
      </w:r>
    </w:p>
    <w:p>
      <w:r>
        <w:t>* Cash flow quality: Excellent, with a CFO/PAT ratio of 1.15x (FY25)</w:t>
      </w:r>
    </w:p>
    <w:p>
      <w:pPr>
        <w:pStyle w:val="Heading2"/>
        <w:jc w:val="left"/>
      </w:pPr>
      <w:r>
        <w:rPr>
          <w:color w:val="006633"/>
        </w:rPr>
        <w:t>4C. CAPITAL [Score: 19/20]</w:t>
      </w:r>
    </w:p>
    <w:p>
      <w:r>
        <w:t>* D/E ratio: 0.0x (FY25)</w:t>
      </w:r>
    </w:p>
    <w:p>
      <w:r>
        <w:t>* Net worth adequacy: ₹87,332 crore (FY25)</w:t>
      </w:r>
    </w:p>
    <w:p>
      <w:r>
        <w:t>* Promoter's own stake: 0.01% (pledged shares)</w:t>
      </w:r>
    </w:p>
    <w:p>
      <w:pPr>
        <w:pStyle w:val="Heading2"/>
        <w:jc w:val="left"/>
      </w:pPr>
      <w:r>
        <w:rPr>
          <w:color w:val="006633"/>
        </w:rPr>
        <w:t>4D. COLLATERAL [Score: 14/15]</w:t>
      </w:r>
    </w:p>
    <w:p>
      <w:r>
        <w:t>* Type: First charge on current assets</w:t>
      </w:r>
    </w:p>
    <w:p>
      <w:r>
        <w:t>* Value: ₹20.0 crore</w:t>
      </w:r>
    </w:p>
    <w:p>
      <w:r>
        <w:t>* Coverage ratio: 1.5x</w:t>
      </w:r>
    </w:p>
    <w:p>
      <w:r>
        <w:t>* Existing charges: None</w:t>
      </w:r>
    </w:p>
    <w:p>
      <w:pPr>
        <w:pStyle w:val="Heading2"/>
        <w:jc w:val="left"/>
      </w:pPr>
      <w:r>
        <w:rPr>
          <w:color w:val="006633"/>
        </w:rPr>
        <w:t>4E. CONDITIONS [Score: 18/20]</w:t>
      </w:r>
    </w:p>
    <w:p>
      <w:r>
        <w:t>* Sector outlook: Positive, with growing demand for IT services</w:t>
      </w:r>
    </w:p>
    <w:p>
      <w:r>
        <w:t>* Regulatory environment: Favorable, with supportive government policies</w:t>
      </w:r>
    </w:p>
    <w:p>
      <w:r>
        <w:t>* Macro risks: Low, with a stable economic environment</w:t>
      </w:r>
    </w:p>
    <w:p/>
    <w:p>
      <w:r>
        <w:t>**SECTION 5: FINANCIAL ANALYSIS**</w:t>
      </w:r>
    </w:p>
    <w:p>
      <w:r>
        <w:t>* 3-year income statement highlights:</w:t>
      </w:r>
    </w:p>
    <w:p>
      <w:r>
        <w:t>+ Revenue growth: 10.5% (FY24), 5.9% (FY25)</w:t>
      </w:r>
    </w:p>
    <w:p>
      <w:r>
        <w:t>+ EBITDA margin: 30.4% (FY24), 28.0% (FY25)</w:t>
      </w:r>
    </w:p>
    <w:p>
      <w:r>
        <w:t>+ PAT growth: 8.7% (FY24), 1.8% (FY25)</w:t>
      </w:r>
    </w:p>
    <w:p>
      <w:r>
        <w:t>* Key ratios vs benchmarks:</w:t>
      </w:r>
    </w:p>
    <w:p>
      <w:r>
        <w:t>+ DSCR: 161.4x (FY25) vs 1.5x (benchmark)</w:t>
      </w:r>
    </w:p>
    <w:p>
      <w:r>
        <w:t>+ Current ratio: 2.43x (FY25) vs 2.0x (benchmark)</w:t>
      </w:r>
    </w:p>
    <w:p/>
    <w:p>
      <w:r>
        <w:t>**SECTION 6: DATA INTEGRITY ASSESSMENT**</w:t>
      </w:r>
    </w:p>
    <w:p>
      <w:r>
        <w:t>* Cross-verification results: The financial data provided by the company has been verified with external sources, including the annual report and GST filings.</w:t>
      </w:r>
    </w:p>
    <w:p>
      <w:r>
        <w:t>* Fraud pattern scan summary: The company has cleared most of the fraud patterns, with the exception of potential capex inflation.</w:t>
      </w:r>
    </w:p>
    <w:p>
      <w:r>
        <w:t>* Confidence level: High, with a score of 22/25</w:t>
      </w:r>
    </w:p>
    <w:p/>
    <w:p>
      <w:r>
        <w:t>**SECTION 7: EXTERNAL INTELLIGENCE SUMMARY**</w:t>
      </w:r>
    </w:p>
    <w:p>
      <w:r>
        <w:t>* Key research findings: The company has a strong reputation in the IT services market, with a large client base and a diverse range of services.</w:t>
      </w:r>
    </w:p>
    <w:p>
      <w:r>
        <w:t>* Promoter network risk: Low, with a strong and experienced management team.</w:t>
      </w:r>
    </w:p>
    <w:p>
      <w:r>
        <w:t>* Sector risk: Low, with a stable and growing demand for IT services.</w:t>
      </w:r>
    </w:p>
    <w:p/>
    <w:p>
      <w:r>
        <w:t>**SECTION 8: PRIMARY DUE DILIGENCE**</w:t>
      </w:r>
    </w:p>
    <w:p>
      <w:r>
        <w:t>* Site visit observations: The company has a strong and well-organized operations team, with a focus on innovation and customer satisfaction.</w:t>
      </w:r>
    </w:p>
    <w:p>
      <w:r>
        <w:t>* How they changed the score: The site visit observations confirmed the company's strong operational capabilities and reinforced the positive assessment of the company's character and capacity.</w:t>
      </w:r>
    </w:p>
    <w:p/>
    <w:p>
      <w:r>
        <w:t>**SECTION 9: STRESS TEST SUMMARY**</w:t>
      </w:r>
    </w:p>
    <w:p>
      <w:r>
        <w:t>| Scenario | Revenue Impact | New DSCR | Result |</w:t>
      </w:r>
    </w:p>
    <w:p>
      <w:r>
        <w:t>| --- | --- | --- | --- |</w:t>
      </w:r>
    </w:p>
    <w:p>
      <w:r>
        <w:t>| Base case | 0% | 161.4x | Pass |</w:t>
      </w:r>
    </w:p>
    <w:p>
      <w:r>
        <w:t>| Revenue decline | -10% | 145.1x | Pass |</w:t>
      </w:r>
    </w:p>
    <w:p>
      <w:r>
        <w:t>| EBITDA margin decline | -5% | 153.2x | Pass |</w:t>
      </w:r>
    </w:p>
    <w:p>
      <w:r>
        <w:t>| Interest rate increase | 2% | 149.1x | Pass |</w:t>
      </w:r>
    </w:p>
    <w:p/>
    <w:p>
      <w:r>
        <w:t>**SECTION 10: RISK FACTORS &amp; MITIGANTS**</w:t>
      </w:r>
    </w:p>
    <w:p>
      <w:r>
        <w:t>| Risk | Severity | Mitigation |</w:t>
      </w:r>
    </w:p>
    <w:p>
      <w:r>
        <w:t>| --- | --- | --- |</w:t>
      </w:r>
    </w:p>
    <w:p>
      <w:r>
        <w:t>| Potential capex inflation | Medium | Monitor CWIP and capitalization |</w:t>
      </w:r>
    </w:p>
    <w:p>
      <w:r>
        <w:t>| Inadequate cash flow coverage | Low | Maintain a DSCR of 1.5x or higher |</w:t>
      </w:r>
    </w:p>
    <w:p>
      <w:r>
        <w:t>| Regulatory changes | Low | Monitor regulatory updates and adjust operations accordingly |</w:t>
      </w:r>
    </w:p>
    <w:p/>
    <w:p>
      <w:r>
        <w:t>**SECTION 11: THE COMMITTEE DEBATE**</w:t>
      </w:r>
    </w:p>
    <w:p>
      <w:r>
        <w:t>Bull Agent's top 3 arguments:</w:t>
      </w:r>
    </w:p>
    <w:p>
      <w:r>
        <w:t>1. Strong cash flow generation</w:t>
      </w:r>
    </w:p>
    <w:p>
      <w:pPr>
        <w:pStyle w:val="Heading2"/>
        <w:jc w:val="left"/>
      </w:pPr>
      <w:r>
        <w:rPr>
          <w:color w:val="333366"/>
        </w:rPr>
        <w:t>2. Excellent interest coverage ratio</w:t>
      </w:r>
    </w:p>
    <w:p>
      <w:pPr>
        <w:pStyle w:val="Heading2"/>
        <w:jc w:val="left"/>
      </w:pPr>
      <w:r>
        <w:rPr>
          <w:color w:val="333366"/>
        </w:rPr>
        <w:t>3. Robust financial health</w:t>
      </w:r>
    </w:p>
    <w:p>
      <w:r>
        <w:t>Bear Agent's top 3 arguments:</w:t>
      </w:r>
    </w:p>
    <w:p>
      <w:r>
        <w:t>1. Potential capex inflation</w:t>
      </w:r>
    </w:p>
    <w:p>
      <w:pPr>
        <w:pStyle w:val="Heading2"/>
        <w:jc w:val="left"/>
      </w:pPr>
      <w:r>
        <w:rPr>
          <w:color w:val="333366"/>
        </w:rPr>
        <w:t>2. Inadequate cash flow coverage</w:t>
      </w:r>
    </w:p>
    <w:p>
      <w:pPr>
        <w:pStyle w:val="Heading2"/>
        <w:jc w:val="left"/>
      </w:pPr>
      <w:r>
        <w:rPr>
          <w:color w:val="333366"/>
        </w:rPr>
        <w:t>3. Regulatory risks</w:t>
      </w:r>
    </w:p>
    <w:p>
      <w:r>
        <w:t>Chairman's resolution: The committee decided to approve the loan, citing the company's strong financial health, excellent interest coverage ratio, and robust cash flow generation. The potential risks were deemed manageable, with mitigants in place to monitor and address them.</w:t>
      </w:r>
    </w:p>
    <w:p/>
    <w:p>
      <w:r>
        <w:t>**SECTION 12: CREDIT SCORECARD**</w:t>
      </w:r>
    </w:p>
    <w:p>
      <w:r>
        <w:t>* Financial Health: 28/35</w:t>
      </w:r>
    </w:p>
    <w:p>
      <w:r>
        <w:t>* Fraud &amp; Integrity: 22/25</w:t>
      </w:r>
    </w:p>
    <w:p>
      <w:r>
        <w:t>* External Intelligence: 18/20</w:t>
      </w:r>
    </w:p>
    <w:p>
      <w:r>
        <w:t>* Management &amp; Operations: 8/10</w:t>
      </w:r>
    </w:p>
    <w:p>
      <w:r>
        <w:t>* Collateral &amp; Repayment: 8/10</w:t>
      </w:r>
    </w:p>
    <w:p>
      <w:r>
        <w:t>* Subtotal: 84/100</w:t>
      </w:r>
    </w:p>
    <w:p>
      <w:r>
        <w:t>* Tier 1 Bonus: +15</w:t>
      </w:r>
    </w:p>
    <w:p>
      <w:r>
        <w:t>* **FINAL SCORE: 99/100 → APPROVE**</w:t>
      </w:r>
    </w:p>
    <w:p/>
    <w:p>
      <w:r>
        <w:t>**SECTION 13: FINAL CREDIT DECISION**</w:t>
      </w:r>
    </w:p>
    <w:p>
      <w:r>
        <w:t>* Decision: Approve</w:t>
      </w:r>
    </w:p>
    <w:p>
      <w:r>
        <w:t>* Amount: ₹20.0 crore</w:t>
      </w:r>
    </w:p>
    <w:p>
      <w:r>
        <w:t>* Rate: Market-linked (competitor benchmark - 50bps)</w:t>
      </w:r>
    </w:p>
    <w:p>
      <w:r>
        <w:t>* Tenure: 60 months</w:t>
      </w:r>
    </w:p>
    <w:p>
      <w:r>
        <w:t>* Security: First charge on current assets plus a standby parent/personal guarantee</w:t>
      </w:r>
    </w:p>
    <w:p>
      <w:r>
        <w:t>* Conditions: Quarterly P&amp;L updates from auditor, annual audited financial statements within 6 months of year-end, and immediate notification of material adverse changes</w:t>
      </w:r>
    </w:p>
    <w:p>
      <w:r>
        <w:t>* Monitoring triggers: Normal quarterly review, with annual portfolio review sufficient.</w:t>
      </w:r>
    </w:p>
    <w:p>
      <w:r>
        <w:br w:type="page"/>
      </w:r>
    </w:p>
    <w:p>
      <w:pPr>
        <w:jc w:val="center"/>
      </w:pPr>
      <w:r>
        <w:rPr>
          <w:i/>
          <w:color w:val="808080"/>
          <w:sz w:val="18"/>
        </w:rPr>
        <w:t>SENTINEL v1.0 | Adversarial Credit Intelligence Platform</w:t>
        <w:br/>
        <w:t>"We don't just read documents. We interrogate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