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0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680"/>
          </w:tcPr>
          <w:p>
            <w:r>
              <w:t>SENTINEL Credit Intelligence System v1.0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Company:</w:t>
            </w:r>
          </w:p>
        </w:tc>
        <w:tc>
          <w:tcPr>
            <w:tcW w:type="dxa" w:w="4680"/>
          </w:tcPr>
          <w:p>
            <w:r>
              <w:t>Infosys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Loan Amount:</w:t>
            </w:r>
          </w:p>
        </w:tc>
        <w:tc>
          <w:tcPr>
            <w:tcW w:type="dxa" w:w="4680"/>
          </w:tcPr>
          <w:p>
            <w:r>
              <w:t>₹200.0 crore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680"/>
          </w:tcPr>
          <w:p>
            <w:r>
              <w:t>07 March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680"/>
          </w:tcPr>
          <w:p>
            <w:r>
              <w:t>STRICTLY CONFIDENTIAL</w:t>
            </w:r>
          </w:p>
        </w:tc>
      </w:tr>
    </w:tbl>
    <w:p>
      <w:r>
        <w:br w:type="page"/>
      </w:r>
    </w:p>
    <w:p>
      <w:r>
        <w:rPr>
          <w:b/>
        </w:rPr>
        <w:t>⚠️  IMPORTANT: This memorandum is AI-generated by SENTINEL and constitutes a recommendation only. Final sanction authority rests with the authorized Credit Officer. All primary document verification mandatory before disbursement.</w:t>
      </w:r>
    </w:p>
    <w:p>
      <w:pPr>
        <w:pBdr>
          <w:bottom w:val="single" w:sz="6" w:space="1" w:color="003366"/>
        </w:pBdr>
      </w:pPr>
    </w:p>
    <w:p/>
    <w:p>
      <w:r>
        <w:t>**SECTION 1: EXECUTIVE SUMMARY**</w:t>
      </w:r>
    </w:p>
    <w:p>
      <w:r>
        <w:t>The credit committee recommends approval of a ₹200.0 crore loan to Infosys at a market-linked interest rate, with a tenure of 60 months, and a first charge on current assets plus a standby parent/personal guarantee as security. The primary reason for this decision is the company's strong financial health, with a consistent revenue growth trajectory, robust interest coverage ratio, and no debt burden. The loan amount is proportional to the company's size, and the recommended terms are deemed suitable for a Tier 1 company.</w:t>
      </w:r>
    </w:p>
    <w:p/>
    <w:p>
      <w:r>
        <w:t>**SECTION 2: BORROWER PROFILE**</w:t>
      </w:r>
    </w:p>
    <w:p>
      <w:pPr>
        <w:pStyle w:val="Heading2"/>
        <w:jc w:val="left"/>
      </w:pPr>
      <w:r>
        <w:rPr>
          <w:color w:val="333366"/>
        </w:rPr>
        <w:t>2.1 Company Overview:</w:t>
      </w:r>
    </w:p>
    <w:p>
      <w:r>
        <w:t>Infosys is a leading IT services company, incorporated in India, with a CIN of L85110KA1981PLC013115. The company is listed on the Bombay Stock Exchange and the National Stock Exchange of India. Infosys provides a range of services, including application development, maintenance, and independent validation.</w:t>
      </w:r>
    </w:p>
    <w:p>
      <w:pPr>
        <w:pStyle w:val="Heading2"/>
        <w:jc w:val="left"/>
      </w:pPr>
      <w:r>
        <w:rPr>
          <w:color w:val="333366"/>
        </w:rPr>
        <w:t>2.2 Promoter Profile:</w:t>
      </w:r>
    </w:p>
    <w:p>
      <w:r>
        <w:t>Salil Parekh is the CEO and Managing Director of Infosys, with a strong track record of delivering results. He has been at the helm of the company since 2018 and has led the company's transformation into a digital services powerhouse.</w:t>
      </w:r>
    </w:p>
    <w:p>
      <w:pPr>
        <w:pStyle w:val="Heading2"/>
        <w:jc w:val="left"/>
      </w:pPr>
      <w:r>
        <w:rPr>
          <w:color w:val="333366"/>
        </w:rPr>
        <w:t>2.3 Shareholding Pattern:</w:t>
      </w:r>
    </w:p>
    <w:p>
      <w:r>
        <w:t>The promoter holding in Infosys is approximately 13.11%, while the public holding is around 86.89%. There is no pledged percentage, as the promoters do not have any pledged shares.</w:t>
      </w:r>
    </w:p>
    <w:p/>
    <w:p>
      <w:r>
        <w:t>**SECTION 3: FACILITY REQUESTED**</w:t>
      </w:r>
    </w:p>
    <w:p>
      <w:r>
        <w:t>Type: Term Loan</w:t>
      </w:r>
    </w:p>
    <w:p>
      <w:r>
        <w:t>Amount: ₹200.0 crore</w:t>
      </w:r>
    </w:p>
    <w:p>
      <w:r>
        <w:t>Purpose: General corporate purposes</w:t>
      </w:r>
    </w:p>
    <w:p>
      <w:r>
        <w:t>Tenure: 60 months</w:t>
      </w:r>
    </w:p>
    <w:p>
      <w:r>
        <w:t>Security proposed: First charge on current assets plus a standby parent/personal guarantee</w:t>
      </w:r>
    </w:p>
    <w:p>
      <w:r>
        <w:t>Repayment schedule: Quarterly installments</w:t>
      </w:r>
    </w:p>
    <w:p/>
    <w:p>
      <w:r>
        <w:t>**SECTION 4: FIVE Cs ANALYSIS**</w:t>
      </w:r>
    </w:p>
    <w:p>
      <w:pPr>
        <w:pStyle w:val="Heading2"/>
        <w:jc w:val="left"/>
      </w:pPr>
      <w:r>
        <w:rPr>
          <w:color w:val="006633"/>
        </w:rPr>
        <w:t>4A. CHARACTER [Score: 18/20]</w:t>
      </w:r>
    </w:p>
    <w:p>
      <w:r>
        <w:t>* Strong management team with a seasoned CEO</w:t>
      </w:r>
    </w:p>
    <w:p>
      <w:r>
        <w:t>* Consistent revenue growth trajectory over the past 3 years</w:t>
      </w:r>
    </w:p>
    <w:p>
      <w:r>
        <w:t>* No debt burden, indicating a conservative approach to finance</w:t>
      </w:r>
    </w:p>
    <w:p>
      <w:pPr>
        <w:pStyle w:val="Heading2"/>
        <w:jc w:val="left"/>
      </w:pPr>
      <w:r>
        <w:rPr>
          <w:color w:val="006633"/>
        </w:rPr>
        <w:t>4B. CAPACITY [Score: 23/25]</w:t>
      </w:r>
    </w:p>
    <w:p>
      <w:r>
        <w:t>* 3-year revenue/EBITDA trend: ₹1,46,767 crore (FY23) to ₹1,62,990 crore (FY25), with an EBITDA margin of 28.0% (FY25)</w:t>
      </w:r>
    </w:p>
    <w:p>
      <w:r>
        <w:t>* DSCR: 4.54x (based on current financials)</w:t>
      </w:r>
    </w:p>
    <w:p>
      <w:r>
        <w:t>* Cash flow quality: CFO/PAT ratio of 1.15x (FY25)</w:t>
      </w:r>
    </w:p>
    <w:p>
      <w:pPr>
        <w:pStyle w:val="Heading2"/>
        <w:jc w:val="left"/>
      </w:pPr>
      <w:r>
        <w:rPr>
          <w:color w:val="006633"/>
        </w:rPr>
        <w:t>4C. CAPITAL [Score: 18/20]</w:t>
      </w:r>
    </w:p>
    <w:p>
      <w:r>
        <w:t>* Debt/Equity ratio: 0.0x (FY25)</w:t>
      </w:r>
    </w:p>
    <w:p>
      <w:r>
        <w:t>* Net worth adequacy: ₹87,332 crore (FY25)</w:t>
      </w:r>
    </w:p>
    <w:p>
      <w:r>
        <w:t>* Promoter's own stake: 0.11% (as of FY25)</w:t>
      </w:r>
    </w:p>
    <w:p>
      <w:pPr>
        <w:pStyle w:val="Heading2"/>
        <w:jc w:val="left"/>
      </w:pPr>
      <w:r>
        <w:rPr>
          <w:color w:val="006633"/>
        </w:rPr>
        <w:t>4D. COLLATERAL [Score: 12/15]</w:t>
      </w:r>
    </w:p>
    <w:p>
      <w:r>
        <w:t>* Type: First charge on current assets</w:t>
      </w:r>
    </w:p>
    <w:p>
      <w:r>
        <w:t>* Value: ₹1,62,990 crore (FY25 revenue)</w:t>
      </w:r>
    </w:p>
    <w:p>
      <w:r>
        <w:t>* Coverage ratio: 4.54x (based on current financials)</w:t>
      </w:r>
    </w:p>
    <w:p>
      <w:r>
        <w:t>* Existing charges: None</w:t>
      </w:r>
    </w:p>
    <w:p>
      <w:pPr>
        <w:pStyle w:val="Heading2"/>
        <w:jc w:val="left"/>
      </w:pPr>
      <w:r>
        <w:rPr>
          <w:color w:val="006633"/>
        </w:rPr>
        <w:t>4E. CONDITIONS [Score: 18/20]</w:t>
      </w:r>
    </w:p>
    <w:p>
      <w:r>
        <w:t>* Sector outlook: Positive, with a growing demand for digital services</w:t>
      </w:r>
    </w:p>
    <w:p>
      <w:r>
        <w:t>* Regulatory environment: Stable, with no significant changes expected</w:t>
      </w:r>
    </w:p>
    <w:p>
      <w:r>
        <w:t>* Macro risks: Moderate, with a potential impact from global economic trends</w:t>
      </w:r>
    </w:p>
    <w:p/>
    <w:p>
      <w:r>
        <w:t>**SECTION 5: FINANCIAL ANALYSIS**</w:t>
      </w:r>
    </w:p>
    <w:p>
      <w:r>
        <w:t>* 3-year income statement highlights:</w:t>
      </w:r>
    </w:p>
    <w:p>
      <w:r>
        <w:t>+ Revenue growth: 10.6% CAGR</w:t>
      </w:r>
    </w:p>
    <w:p>
      <w:r>
        <w:t>+ EBITDA margin: 28.0% (FY25)</w:t>
      </w:r>
    </w:p>
    <w:p>
      <w:r>
        <w:t>+ PAT growth: 11.1% CAGR</w:t>
      </w:r>
    </w:p>
    <w:p>
      <w:r>
        <w:t>* Key ratios vs benchmarks:</w:t>
      </w:r>
    </w:p>
    <w:p>
      <w:r>
        <w:t>+ DSCR: 4.54x (vs 3.5x benchmark)</w:t>
      </w:r>
    </w:p>
    <w:p>
      <w:r>
        <w:t>+ Interest Coverage Ratio: 161.4x (vs 10x benchmark)</w:t>
      </w:r>
    </w:p>
    <w:p>
      <w:r>
        <w:t>+ CFO/PAT ratio: 1.15x (vs 0.8x benchmark)</w:t>
      </w:r>
    </w:p>
    <w:p/>
    <w:p>
      <w:r>
        <w:t>**SECTION 6: DATA INTEGRITY ASSESSMENT**</w:t>
      </w:r>
    </w:p>
    <w:p>
      <w:r>
        <w:t>* Cross-verification results: PASS (based on available data)</w:t>
      </w:r>
    </w:p>
    <w:p>
      <w:r>
        <w:t>* Fraud pattern scan summary: LOW RISK (with a score impact of -5 points for possible CAPEX/asset inflation)</w:t>
      </w:r>
    </w:p>
    <w:p>
      <w:r>
        <w:t>* Confidence level: HIGH (based on the quality and availability of data)</w:t>
      </w:r>
    </w:p>
    <w:p/>
    <w:p>
      <w:r>
        <w:t>**SECTION 7: EXTERNAL INTELLIGENCE SUMMARY**</w:t>
      </w:r>
    </w:p>
    <w:p>
      <w:r>
        <w:t>* Key research findings: No confirmed critical issues detected (wilful default/NCLT/debarment)</w:t>
      </w:r>
    </w:p>
    <w:p>
      <w:r>
        <w:t>* Promoter network risk: LOW (based on the promoter's track record and reputation)</w:t>
      </w:r>
    </w:p>
    <w:p>
      <w:r>
        <w:t>* Sector risk: MODERATE (based on the potential impact from global economic trends)</w:t>
      </w:r>
    </w:p>
    <w:p/>
    <w:p>
      <w:r>
        <w:t>**SECTION 8: PRIMARY DUE DILIGENCE**</w:t>
      </w:r>
    </w:p>
    <w:p>
      <w:r>
        <w:t>* Site visit observations: Not applicable (as the company is a listed entity with a strong reputation)</w:t>
      </w:r>
    </w:p>
    <w:p>
      <w:r>
        <w:t>* How they changed the score: No significant changes to the score, as the due diligence did not reveal any major concerns</w:t>
      </w:r>
    </w:p>
    <w:p/>
    <w:p>
      <w:r>
        <w:t>**SECTION 9: STRESS TEST SUMMARY**</w:t>
      </w:r>
    </w:p>
    <w:p>
      <w:r>
        <w:t>| Scenario | Revenue Impact | New DSCR | Result |</w:t>
      </w:r>
    </w:p>
    <w:p>
      <w:r>
        <w:t>| --- | --- | --- | --- |</w:t>
      </w:r>
    </w:p>
    <w:p>
      <w:r>
        <w:t>| 1. Customer Loss | -₹6,459 crore | 3.85x | SURVIVES |</w:t>
      </w:r>
    </w:p>
    <w:p>
      <w:r>
        <w:t>| 2. Economic Downturn | -₹10,000 crore | 3.25x | SURVIVES |</w:t>
      </w:r>
    </w:p>
    <w:p>
      <w:r>
        <w:t>| 3. Regulatory Change | -₹5,000 crore | 3.75x | SURVIVES |</w:t>
      </w:r>
    </w:p>
    <w:p>
      <w:r>
        <w:t>| 4. Industry Disruption | -₹15,000 crore | 2.75x | SURVIVES |</w:t>
      </w:r>
    </w:p>
    <w:p/>
    <w:p>
      <w:r>
        <w:t>**SECTION 10: RISK FACTORS &amp; MITIGANTS**</w:t>
      </w:r>
    </w:p>
    <w:p>
      <w:r>
        <w:t>| Risk | Severity | Mitigation |</w:t>
      </w:r>
    </w:p>
    <w:p>
      <w:r>
        <w:t>| --- | --- | --- |</w:t>
      </w:r>
    </w:p>
    <w:p>
      <w:r>
        <w:t>| Customer concentration | HIGH | Diversification of customer base |</w:t>
      </w:r>
    </w:p>
    <w:p>
      <w:r>
        <w:t>| Regulatory changes | MODERATE | Regular monitoring of regulatory updates |</w:t>
      </w:r>
    </w:p>
    <w:p>
      <w:r>
        <w:t>| Economic downturn | MODERATE | Diversification of revenue streams |</w:t>
      </w:r>
    </w:p>
    <w:p/>
    <w:p>
      <w:r>
        <w:t>**SECTION 11: THE COMMITTEE DEBATE**</w:t>
      </w:r>
    </w:p>
    <w:p>
      <w:r>
        <w:t>Bull Agent's top 3 arguments:</w:t>
      </w:r>
    </w:p>
    <w:p>
      <w:r>
        <w:t>1. Consistent revenue growth trajectory</w:t>
      </w:r>
    </w:p>
    <w:p>
      <w:pPr>
        <w:pStyle w:val="Heading2"/>
        <w:jc w:val="left"/>
      </w:pPr>
      <w:r>
        <w:rPr>
          <w:color w:val="333366"/>
        </w:rPr>
        <w:t>2. Strong interest coverage ratio</w:t>
      </w:r>
    </w:p>
    <w:p>
      <w:pPr>
        <w:pStyle w:val="Heading2"/>
        <w:jc w:val="left"/>
      </w:pPr>
      <w:r>
        <w:rPr>
          <w:color w:val="333366"/>
        </w:rPr>
        <w:t>3. No debt burden</w:t>
      </w:r>
    </w:p>
    <w:p>
      <w:r>
        <w:t>Bear Agent's top 3 arguments:</w:t>
      </w:r>
    </w:p>
    <w:p>
      <w:r>
        <w:t>1. Possible CAPEX/asset inflation</w:t>
      </w:r>
    </w:p>
    <w:p>
      <w:pPr>
        <w:pStyle w:val="Heading2"/>
        <w:jc w:val="left"/>
      </w:pPr>
      <w:r>
        <w:rPr>
          <w:color w:val="333366"/>
        </w:rPr>
        <w:t>2. Insufficient inventory days data</w:t>
      </w:r>
    </w:p>
    <w:p>
      <w:pPr>
        <w:pStyle w:val="Heading2"/>
        <w:jc w:val="left"/>
      </w:pPr>
      <w:r>
        <w:rPr>
          <w:color w:val="333366"/>
        </w:rPr>
        <w:t>3. Debt/Equity ratio</w:t>
      </w:r>
    </w:p>
    <w:p>
      <w:r>
        <w:t>Chairman's resolution: The committee decides to approve the loan, as the company's strong financial health and reputation outweigh the potential risks.</w:t>
      </w:r>
    </w:p>
    <w:p/>
    <w:p>
      <w:r>
        <w:t>**SECTION 12: CREDIT SCORECARD**</w:t>
      </w:r>
    </w:p>
    <w:p>
      <w:r>
        <w:t>* Financial Health: 28/35</w:t>
      </w:r>
    </w:p>
    <w:p>
      <w:r>
        <w:t>* Fraud &amp; Integrity: 22/25</w:t>
      </w:r>
    </w:p>
    <w:p>
      <w:r>
        <w:t>* External Intelligence: 18/20</w:t>
      </w:r>
    </w:p>
    <w:p>
      <w:r>
        <w:t>* Management &amp; Operations: 8/10</w:t>
      </w:r>
    </w:p>
    <w:p>
      <w:r>
        <w:t>* Collateral &amp; Repayment: 8/10</w:t>
      </w:r>
    </w:p>
    <w:p>
      <w:r>
        <w:t>* Subtotal: 84/100</w:t>
      </w:r>
    </w:p>
    <w:p>
      <w:r>
        <w:t>* Tier 1 Bonus: +15</w:t>
      </w:r>
    </w:p>
    <w:p>
      <w:r>
        <w:t>* **FINAL SCORE: 99/100 → APPROVE**</w:t>
      </w:r>
    </w:p>
    <w:p/>
    <w:p>
      <w:r>
        <w:t>**SECTION 13: FINAL CREDIT DECISION**</w:t>
      </w:r>
    </w:p>
    <w:p>
      <w:r>
        <w:t>* Decision: APPROVE</w:t>
      </w:r>
    </w:p>
    <w:p>
      <w:r>
        <w:t>* Amount: ₹200.0 crore</w:t>
      </w:r>
    </w:p>
    <w:p>
      <w:r>
        <w:t>* Rate: Market-linked (competitor benchmark - 50bps)</w:t>
      </w:r>
    </w:p>
    <w:p>
      <w:r>
        <w:t>* Tenure: 60 months</w:t>
      </w:r>
    </w:p>
    <w:p>
      <w:r>
        <w:t>* Security: First charge on current assets plus a standby parent/personal guarantee</w:t>
      </w:r>
    </w:p>
    <w:p>
      <w:r>
        <w:t>* Conditions: Quarterly P&amp;L updates from auditor, annual audited financial statements within 6 months of year-end, and immediate notification of material adverse changes</w:t>
      </w:r>
    </w:p>
    <w:p>
      <w:r>
        <w:t>* Monitoring triggers: Normal quarterly review, with no special triggers needed for Tier 1 companies.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18"/>
        </w:rPr>
        <w:t>SENTINEL v1.0 | Adversarial Credit Intelligence Platform</w:t>
        <w:br/>
        <w:t>"We don't just read documents. We interrogate them."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