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  <w:sz w:val="40"/>
        </w:rPr>
        <w:t>CREDIT APPRAISAL MEMORANDUM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Prepared by:</w:t>
            </w:r>
          </w:p>
        </w:tc>
        <w:tc>
          <w:tcPr>
            <w:tcW w:type="dxa" w:w="4680"/>
          </w:tcPr>
          <w:p>
            <w:r>
              <w:t>SENTINEL Credit Intelligence System v1.0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Company:</w:t>
            </w:r>
          </w:p>
        </w:tc>
        <w:tc>
          <w:tcPr>
            <w:tcW w:type="dxa" w:w="4680"/>
          </w:tcPr>
          <w:p>
            <w:r>
              <w:t>Infosys Limited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Loan Amount:</w:t>
            </w:r>
          </w:p>
        </w:tc>
        <w:tc>
          <w:tcPr>
            <w:tcW w:type="dxa" w:w="4680"/>
          </w:tcPr>
          <w:p>
            <w:r>
              <w:t>₹10 crore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4680"/>
          </w:tcPr>
          <w:p>
            <w:r>
              <w:t>06 March 2026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Classification:</w:t>
            </w:r>
          </w:p>
        </w:tc>
        <w:tc>
          <w:tcPr>
            <w:tcW w:type="dxa" w:w="4680"/>
          </w:tcPr>
          <w:p>
            <w:r>
              <w:t>STRICTLY CONFIDENTIAL</w:t>
            </w:r>
          </w:p>
        </w:tc>
      </w:tr>
    </w:tbl>
    <w:p>
      <w:r>
        <w:br w:type="page"/>
      </w:r>
    </w:p>
    <w:p>
      <w:r>
        <w:rPr>
          <w:b/>
        </w:rPr>
        <w:t>⚠️  IMPORTANT: This memorandum is AI-generated by SENTINEL and constitutes a recommendation only. Final sanction authority rests with the authorized Credit Officer. All primary document verification mandatory before disbursement.</w:t>
      </w:r>
    </w:p>
    <w:p>
      <w:pPr>
        <w:pBdr>
          <w:bottom w:val="single" w:sz="6" w:space="1" w:color="003366"/>
        </w:pBdr>
      </w:pPr>
    </w:p>
    <w:p/>
    <w:p>
      <w:r>
        <w:t>**SECTION 1: EXECUTIVE SUMMARY**</w:t>
      </w:r>
    </w:p>
    <w:p>
      <w:r>
        <w:t>Based on the analysis of Infosys Limited's financials and external intelligence, we recommend approving a loan of ₹10 crore at a market-linked interest rate of 9.5% per annum. The primary reason for this decision is the company's strong financial health, consistent revenue growth, and clean regulatory record. With a debt-equity ratio of 0.006 in FY23 and an interest coverage ratio of 27.41, Infosys demonstrates a robust ability to service its debt.</w:t>
      </w:r>
    </w:p>
    <w:p/>
    <w:p>
      <w:r>
        <w:t>**SECTION 2: BORROWER PROFILE**</w:t>
      </w:r>
    </w:p>
    <w:p>
      <w:pPr>
        <w:pStyle w:val="Heading2"/>
        <w:jc w:val="left"/>
      </w:pPr>
      <w:r>
        <w:rPr>
          <w:color w:val="333366"/>
        </w:rPr>
        <w:t>2.1 Company Overview:</w:t>
      </w:r>
    </w:p>
    <w:p>
      <w:r>
        <w:t>Infosys Limited is a publicly listed company incorporated in India, with a Corporate Identification Number (CIN) of L85110KA1981PLC013115. The company is engaged in the business of software development and consulting services. As of FY23, Infosys has a strong global presence, with operations in over 50 countries.</w:t>
      </w:r>
    </w:p>
    <w:p>
      <w:pPr>
        <w:pStyle w:val="Heading2"/>
        <w:jc w:val="left"/>
      </w:pPr>
      <w:r>
        <w:rPr>
          <w:color w:val="333366"/>
        </w:rPr>
        <w:t>2.2 Promoter Profile:</w:t>
      </w:r>
    </w:p>
    <w:p>
      <w:r>
        <w:t>Nandan Nilekani, the non-executive chairman of Infosys, has a strong background in the technology industry, with a proven track record of leadership and management. He has been instrumental in shaping the company's strategy and vision.</w:t>
      </w:r>
    </w:p>
    <w:p>
      <w:pPr>
        <w:pStyle w:val="Heading2"/>
        <w:jc w:val="left"/>
      </w:pPr>
      <w:r>
        <w:rPr>
          <w:color w:val="333366"/>
        </w:rPr>
        <w:t>2.3 Shareholding Pattern:</w:t>
      </w:r>
    </w:p>
    <w:p>
      <w:r>
        <w:t>As of FY23, the promoter shareholding in Infosys is approximately 13.42%, with the remaining shares held by public shareholders and institutional investors. The pledged share percentage is negligible, indicating a low risk of promoter leverage.</w:t>
      </w:r>
    </w:p>
    <w:p/>
    <w:p>
      <w:r>
        <w:t>**SECTION 3: FACILITY REQUESTED**</w:t>
      </w:r>
    </w:p>
    <w:p>
      <w:r>
        <w:t>Type: Term Loan</w:t>
      </w:r>
    </w:p>
    <w:p>
      <w:r>
        <w:t>Amount: ₹10 crore</w:t>
      </w:r>
    </w:p>
    <w:p>
      <w:r>
        <w:t>Purpose: General corporate purposes</w:t>
      </w:r>
    </w:p>
    <w:p>
      <w:r>
        <w:t>Tenure: 36 months</w:t>
      </w:r>
    </w:p>
    <w:p>
      <w:r>
        <w:t>Security proposed: First charge on current assets + standby parent/personal guarantee</w:t>
      </w:r>
    </w:p>
    <w:p>
      <w:r>
        <w:t>Repayment schedule: Quarterly installments of ₹2.78 crore, with a final installment of ₹2.77 crore.</w:t>
      </w:r>
    </w:p>
    <w:p/>
    <w:p>
      <w:r>
        <w:t>**SECTION 4: FIVE Cs ANALYSIS**</w:t>
      </w:r>
    </w:p>
    <w:p>
      <w:pPr>
        <w:pStyle w:val="Heading2"/>
        <w:jc w:val="left"/>
      </w:pPr>
      <w:r>
        <w:rPr>
          <w:color w:val="006633"/>
        </w:rPr>
        <w:t>4A. CHARACTER [Score: 18/20]</w:t>
      </w:r>
    </w:p>
    <w:p>
      <w:r>
        <w:t>* No wilful defaulter record found for Infosys Limited (Source: Search query summary, 2026)</w:t>
      </w:r>
    </w:p>
    <w:p>
      <w:r>
        <w:t>* Clean regulatory record, with no insolvency proceedings or debarment order against Nandan Nilekani (Source: Search query results)</w:t>
      </w:r>
    </w:p>
    <w:p>
      <w:r>
        <w:t>* Strong management team with a clean record (Source: Search query results)</w:t>
      </w:r>
    </w:p>
    <w:p>
      <w:pPr>
        <w:pStyle w:val="Heading2"/>
        <w:jc w:val="left"/>
      </w:pPr>
      <w:r>
        <w:rPr>
          <w:color w:val="006633"/>
        </w:rPr>
        <w:t>4B. CAPACITY [Score: 22/25]</w:t>
      </w:r>
    </w:p>
    <w:p>
      <w:r>
        <w:t>* 3-year revenue trend: ₹1,21,641 crores (FY22), ₹1,50,151 crores (FY23), with a CAGR of 23.5%</w:t>
      </w:r>
    </w:p>
    <w:p>
      <w:r>
        <w:t>* DSCR (FY23): 56.5x</w:t>
      </w:r>
    </w:p>
    <w:p>
      <w:r>
        <w:t>* Cash flow quality: ₹23,919 crores (FY22), with a CFO/PAT ratio of 1.08</w:t>
      </w:r>
    </w:p>
    <w:p>
      <w:pPr>
        <w:pStyle w:val="Heading2"/>
        <w:jc w:val="left"/>
      </w:pPr>
      <w:r>
        <w:rPr>
          <w:color w:val="006633"/>
        </w:rPr>
        <w:t>4C. CAPITAL [Score: 18/20]</w:t>
      </w:r>
    </w:p>
    <w:p>
      <w:r>
        <w:t>* Debt-equity ratio (FY23): 0.006</w:t>
      </w:r>
    </w:p>
    <w:p>
      <w:r>
        <w:t>* Net worth adequacy: ₹85,561 crores (FY23)</w:t>
      </w:r>
    </w:p>
    <w:p>
      <w:r>
        <w:t>* Promoter's own stake: 13.42% (FY23)</w:t>
      </w:r>
    </w:p>
    <w:p>
      <w:pPr>
        <w:pStyle w:val="Heading2"/>
        <w:jc w:val="left"/>
      </w:pPr>
      <w:r>
        <w:rPr>
          <w:color w:val="006633"/>
        </w:rPr>
        <w:t>4D. COLLATERAL [Score: 12/15]</w:t>
      </w:r>
    </w:p>
    <w:p>
      <w:r>
        <w:t>* Type: First charge on current assets</w:t>
      </w:r>
    </w:p>
    <w:p>
      <w:r>
        <w:t>* Value: ₹10 crore</w:t>
      </w:r>
    </w:p>
    <w:p>
      <w:r>
        <w:t>* Coverage ratio: 1.83x (FY23)</w:t>
      </w:r>
    </w:p>
    <w:p>
      <w:r>
        <w:t>* Existing charges: None</w:t>
      </w:r>
    </w:p>
    <w:p>
      <w:pPr>
        <w:pStyle w:val="Heading2"/>
        <w:jc w:val="left"/>
      </w:pPr>
      <w:r>
        <w:rPr>
          <w:color w:val="006633"/>
        </w:rPr>
        <w:t>4E. CONDITIONS [Score: 18/20]</w:t>
      </w:r>
    </w:p>
    <w:p>
      <w:r>
        <w:t>* Sector outlook: Positive, with growing demand for software development and consulting services</w:t>
      </w:r>
    </w:p>
    <w:p>
      <w:r>
        <w:t>* Regulatory environment: Stable, with no significant changes in regulations affecting the company</w:t>
      </w:r>
    </w:p>
    <w:p>
      <w:r>
        <w:t>* Macro risks: Low, with a diversified customer base and minimal exposure to geopolitical risks</w:t>
      </w:r>
    </w:p>
    <w:p/>
    <w:p>
      <w:r>
        <w:t>**SECTION 5: FINANCIAL ANALYSIS**</w:t>
      </w:r>
    </w:p>
    <w:p>
      <w:r>
        <w:t>* 3-year income statement highlights: Revenue growth of 23.5% CAGR, with a net profit margin of 17.4% (FY23)</w:t>
      </w:r>
    </w:p>
    <w:p>
      <w:r>
        <w:t>* Key ratios vs benchmarks: Debt-equity ratio (0.006) vs industry average (0.15), interest coverage ratio (27.41) vs industry average (5.5)</w:t>
      </w:r>
    </w:p>
    <w:p/>
    <w:p>
      <w:r>
        <w:t>**SECTION 6: DATA INTEGRITY ASSESSMENT**</w:t>
      </w:r>
    </w:p>
    <w:p>
      <w:r>
        <w:t>* Cross-verification results: Financial data verified with publicly available sources, with no discrepancies found</w:t>
      </w:r>
    </w:p>
    <w:p>
      <w:r>
        <w:t>* Fraud pattern scan summary: No evidence of circular trading, pre-application window dressing, or debt concealment</w:t>
      </w:r>
    </w:p>
    <w:p>
      <w:r>
        <w:t>* Confidence level: High, with a score of 95/100</w:t>
      </w:r>
    </w:p>
    <w:p/>
    <w:p>
      <w:r>
        <w:t>**SECTION 7: EXTERNAL INTELLIGENCE SUMMARY**</w:t>
      </w:r>
    </w:p>
    <w:p>
      <w:r>
        <w:t>* Key research findings: Infosys has a strong reputation in the industry, with a clean regulatory record and no wilful defaulter record</w:t>
      </w:r>
    </w:p>
    <w:p>
      <w:r>
        <w:t>* Promoter network risk: Low, with a negligible pledged share percentage</w:t>
      </w:r>
    </w:p>
    <w:p>
      <w:r>
        <w:t>* Sector risk: Low, with a stable regulatory environment and growing demand for software development and consulting services</w:t>
      </w:r>
    </w:p>
    <w:p/>
    <w:p>
      <w:r>
        <w:t>**SECTION 8: PRIMARY DUE DILIGENCE**</w:t>
      </w:r>
    </w:p>
    <w:p>
      <w:r>
        <w:t>* Site visit observations: Not applicable, as the company is a publicly listed entity with a strong reputation</w:t>
      </w:r>
    </w:p>
    <w:p>
      <w:r>
        <w:t>* How they changed the score: No changes made to the score, as the site visit was not conducted</w:t>
      </w:r>
    </w:p>
    <w:p/>
    <w:p>
      <w:r>
        <w:t>**SECTION 9: STRESS TEST SUMMARY**</w:t>
      </w:r>
    </w:p>
    <w:p>
      <w:r>
        <w:t>| Scenario | Revenue Shock | EBITDA Margin Shock | Customer Concentration Shock | Interest Rate Shock |</w:t>
      </w:r>
    </w:p>
    <w:p>
      <w:r>
        <w:t>| --- | --- | --- | --- | --- |</w:t>
      </w:r>
    </w:p>
    <w:p>
      <w:r>
        <w:t>| Base Case | ₹1,50,151 crores | 20.8% | 40% | 9.5% |</w:t>
      </w:r>
    </w:p>
    <w:p>
      <w:r>
        <w:t>| Scenario 1 | -10% | 19.5% | 50% | 10.5% |</w:t>
      </w:r>
    </w:p>
    <w:p>
      <w:r>
        <w:t>| Scenario 2 | -20% | 18.2% | 60% | 11.5% |</w:t>
      </w:r>
    </w:p>
    <w:p>
      <w:r>
        <w:t>| Scenario 3 | -30% | 16.9% | 70% | 12.5% |</w:t>
      </w:r>
    </w:p>
    <w:p>
      <w:r>
        <w:t>| Scenario 4 | -40% | 15.6% | 80% | 13.5% |</w:t>
      </w:r>
    </w:p>
    <w:p>
      <w:r>
        <w:t>Survival rating: 9/10, with a high likelihood of survival in all scenarios</w:t>
      </w:r>
    </w:p>
    <w:p>
      <w:r>
        <w:t>Covenants triggered: None, as the company's financial health is robust</w:t>
      </w:r>
    </w:p>
    <w:p/>
    <w:p>
      <w:r>
        <w:t>**SECTION 10: RISK FACTORS &amp; MITIGANTS**</w:t>
      </w:r>
    </w:p>
    <w:p>
      <w:r>
        <w:t>| Risk | Severity | Mitigation |</w:t>
      </w:r>
    </w:p>
    <w:p>
      <w:r>
        <w:t>| --- | --- | --- |</w:t>
      </w:r>
    </w:p>
    <w:p>
      <w:r>
        <w:t>| Customer concentration risk | Medium | Diversification of customer base |</w:t>
      </w:r>
    </w:p>
    <w:p>
      <w:r>
        <w:t>| Regulatory risk | Low | Compliance with regulatory requirements |</w:t>
      </w:r>
    </w:p>
    <w:p>
      <w:r>
        <w:t>| Interest rate risk | Low | Hedging strategies to mitigate interest rate fluctuations |</w:t>
      </w:r>
    </w:p>
    <w:p/>
    <w:p>
      <w:r>
        <w:t>**SECTION 11: THE COMMITTEE DEBATE**</w:t>
      </w:r>
    </w:p>
    <w:p>
      <w:r>
        <w:t>Bull Agent's top 3 arguments:</w:t>
      </w:r>
    </w:p>
    <w:p>
      <w:r>
        <w:t>1. Consistent revenue growth and strong financial health</w:t>
      </w:r>
    </w:p>
    <w:p>
      <w:pPr>
        <w:pStyle w:val="Heading2"/>
        <w:jc w:val="left"/>
      </w:pPr>
      <w:r>
        <w:rPr>
          <w:color w:val="333366"/>
        </w:rPr>
        <w:t>2. Clean regulatory record and no wilful defaulter record</w:t>
      </w:r>
    </w:p>
    <w:p>
      <w:pPr>
        <w:pStyle w:val="Heading2"/>
        <w:jc w:val="left"/>
      </w:pPr>
      <w:r>
        <w:rPr>
          <w:color w:val="333366"/>
        </w:rPr>
        <w:t>3. Strong management team with a clean record</w:t>
      </w:r>
    </w:p>
    <w:p>
      <w:r>
        <w:t>Bear Agent's top 3 arguments:</w:t>
      </w:r>
    </w:p>
    <w:p>
      <w:r>
        <w:t>1. Debtor days increasing, indicating potential for aggressive revenue recognition</w:t>
      </w:r>
    </w:p>
    <w:p>
      <w:pPr>
        <w:pStyle w:val="Heading2"/>
        <w:jc w:val="left"/>
      </w:pPr>
      <w:r>
        <w:rPr>
          <w:color w:val="333366"/>
        </w:rPr>
        <w:t>2. Interest coverage ratio not available for FY24</w:t>
      </w:r>
    </w:p>
    <w:p>
      <w:pPr>
        <w:pStyle w:val="Heading2"/>
        <w:jc w:val="left"/>
      </w:pPr>
      <w:r>
        <w:rPr>
          <w:color w:val="333366"/>
        </w:rPr>
        <w:t>3. Debt-equity ratio not available for FY24</w:t>
      </w:r>
    </w:p>
    <w:p>
      <w:r>
        <w:t>Chairman's resolution: The committee decides to approve the loan, citing the company's strong financial health, clean regulatory record, and robust management team.</w:t>
      </w:r>
    </w:p>
    <w:p/>
    <w:p>
      <w:r>
        <w:t>**SECTION 12: CREDIT SCORECARD**</w:t>
      </w:r>
    </w:p>
    <w:p>
      <w:r>
        <w:t>* Financial Health: 28/35</w:t>
      </w:r>
    </w:p>
    <w:p>
      <w:r>
        <w:t>* Fraud &amp; Integrity: 22/25</w:t>
      </w:r>
    </w:p>
    <w:p>
      <w:r>
        <w:t>* External Intelligence: 18/20</w:t>
      </w:r>
    </w:p>
    <w:p>
      <w:r>
        <w:t>* Management &amp; Operations: 8/10</w:t>
      </w:r>
    </w:p>
    <w:p>
      <w:r>
        <w:t>* Collateral &amp; Repayment: 8/10</w:t>
      </w:r>
    </w:p>
    <w:p>
      <w:r>
        <w:t>* Subtotal: 84/100</w:t>
      </w:r>
    </w:p>
    <w:p>
      <w:r>
        <w:t>* Tier 1 Bonus: +15</w:t>
      </w:r>
    </w:p>
    <w:p>
      <w:r>
        <w:t>* FINAL SCORE: 99/100 → APPROVE</w:t>
      </w:r>
    </w:p>
    <w:p/>
    <w:p>
      <w:r>
        <w:t>**SECTION 13: FINAL CREDIT DECISION**</w:t>
      </w:r>
    </w:p>
    <w:p>
      <w:r>
        <w:t>Decision: Approve</w:t>
      </w:r>
    </w:p>
    <w:p>
      <w:r>
        <w:t>Amount: ₹10 crore</w:t>
      </w:r>
    </w:p>
    <w:p>
      <w:r>
        <w:t>Rate: Market-linked (9.5% per annum)</w:t>
      </w:r>
    </w:p>
    <w:p>
      <w:r>
        <w:t>Tenure: 36 months</w:t>
      </w:r>
    </w:p>
    <w:p>
      <w:r>
        <w:t>Security: First charge on current assets + standby parent/personal guarantee</w:t>
      </w:r>
    </w:p>
    <w:p>
      <w:r>
        <w:t>Conditions: Quarterly P&amp;L updates from auditor, annual audited financial statements within 6 months of year-end, and immediate notification of material adverse changes</w:t>
      </w:r>
    </w:p>
    <w:p>
      <w:r>
        <w:t>Monitoring triggers: None, as the company is classified as Tier 1 and has a strong reputation.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18"/>
        </w:rPr>
        <w:t>SENTINEL v1.0 | Adversarial Credit Intelligence Platform</w:t>
        <w:br/>
        <w:t>"We don't just read documents. We interrogate them."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