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0"/>
        </w:rPr>
        <w:t>CREDIT APPRAISAL MEMORANDUM</w:t>
      </w:r>
    </w:p>
    <w:p/>
    <w:tbl>
      <w:tblPr>
        <w:tblStyle w:val="TableGrid"/>
        <w:tblW w:type="auto" w:w="0"/>
        <w:tblLook w:firstColumn="1" w:firstRow="1" w:lastColumn="0" w:lastRow="0" w:noHBand="0" w:noVBand="1" w:val="04A0"/>
      </w:tblPr>
      <w:tblGrid>
        <w:gridCol w:w="4680"/>
        <w:gridCol w:w="4680"/>
      </w:tblGrid>
      <w:tr>
        <w:tc>
          <w:tcPr>
            <w:tcW w:type="dxa" w:w="4680"/>
          </w:tcPr>
          <w:p>
            <w:r>
              <w:rPr>
                <w:b/>
              </w:rPr>
              <w:t>Prepared by:</w:t>
            </w:r>
          </w:p>
        </w:tc>
        <w:tc>
          <w:tcPr>
            <w:tcW w:type="dxa" w:w="4680"/>
          </w:tcPr>
          <w:p>
            <w:r>
              <w:t>SENTINEL Credit Intelligence System v1.0</w:t>
            </w:r>
          </w:p>
        </w:tc>
      </w:tr>
      <w:tr>
        <w:tc>
          <w:tcPr>
            <w:tcW w:type="dxa" w:w="4680"/>
          </w:tcPr>
          <w:p>
            <w:r>
              <w:rPr>
                <w:b/>
              </w:rPr>
              <w:t>Company:</w:t>
            </w:r>
          </w:p>
        </w:tc>
        <w:tc>
          <w:tcPr>
            <w:tcW w:type="dxa" w:w="4680"/>
          </w:tcPr>
          <w:p>
            <w:r>
              <w:t>Infosys Limited (INFY)</w:t>
            </w:r>
          </w:p>
        </w:tc>
      </w:tr>
      <w:tr>
        <w:tc>
          <w:tcPr>
            <w:tcW w:type="dxa" w:w="4680"/>
          </w:tcPr>
          <w:p>
            <w:r>
              <w:rPr>
                <w:b/>
              </w:rPr>
              <w:t>Loan Amount:</w:t>
            </w:r>
          </w:p>
        </w:tc>
        <w:tc>
          <w:tcPr>
            <w:tcW w:type="dxa" w:w="4680"/>
          </w:tcPr>
          <w:p>
            <w:r>
              <w:t>₹5.0 crore</w:t>
            </w:r>
          </w:p>
        </w:tc>
      </w:tr>
      <w:tr>
        <w:tc>
          <w:tcPr>
            <w:tcW w:type="dxa" w:w="4680"/>
          </w:tcPr>
          <w:p>
            <w:r>
              <w:rPr>
                <w:b/>
              </w:rPr>
              <w:t>Date:</w:t>
            </w:r>
          </w:p>
        </w:tc>
        <w:tc>
          <w:tcPr>
            <w:tcW w:type="dxa" w:w="4680"/>
          </w:tcPr>
          <w:p>
            <w:r>
              <w:t>05 March 2026</w:t>
            </w:r>
          </w:p>
        </w:tc>
      </w:tr>
      <w:tr>
        <w:tc>
          <w:tcPr>
            <w:tcW w:type="dxa" w:w="4680"/>
          </w:tcPr>
          <w:p>
            <w:r>
              <w:rPr>
                <w:b/>
              </w:rPr>
              <w:t>Classification:</w:t>
            </w:r>
          </w:p>
        </w:tc>
        <w:tc>
          <w:tcPr>
            <w:tcW w:type="dxa" w:w="4680"/>
          </w:tcPr>
          <w:p>
            <w:r>
              <w:t>STRICTLY CONFIDENTIAL</w:t>
            </w:r>
          </w:p>
        </w:tc>
      </w:tr>
    </w:tbl>
    <w:p>
      <w:r>
        <w:br w:type="page"/>
      </w:r>
    </w:p>
    <w:p>
      <w:r>
        <w:rPr>
          <w:b/>
        </w:rPr>
        <w:t>⚠️  IMPORTANT: This memorandum is AI-generated by SENTINEL and constitutes a recommendation only. Final sanction authority rests with the authorized Credit Officer. All primary document verification mandatory before disbursement.</w:t>
      </w:r>
    </w:p>
    <w:p>
      <w:pPr>
        <w:pBdr>
          <w:bottom w:val="single" w:sz="6" w:space="1" w:color="003366"/>
        </w:pBdr>
      </w:pPr>
    </w:p>
    <w:p/>
    <w:p>
      <w:r>
        <w:t>**SECTION 1: EXECUTIVE SUMMARY**</w:t>
      </w:r>
    </w:p>
    <w:p>
      <w:r>
        <w:t>The credit appraisal memorandum for Infosys Limited (INFY) concludes with a conditional approval for a reduced loan amount of ₹3.5 crore at an interest rate of 8.5% to 9.5%. The primary reason for this decision is the company's complex risk profile, including significant regulatory and legal risks, which are mitigated by its strong market position and growth prospects. The loan is subject to strict covenants to monitor the company's compliance with regulatory requirements and to address the concerns raised by the SEBI investigation, SEC probe, and GST evasion demand.</w:t>
      </w:r>
    </w:p>
    <w:p/>
    <w:p>
      <w:r>
        <w:t>**SECTION 2: BORROWER PROFILE**</w:t>
      </w:r>
    </w:p>
    <w:p>
      <w:pPr>
        <w:pStyle w:val="Heading2"/>
        <w:jc w:val="left"/>
      </w:pPr>
      <w:r>
        <w:rPr>
          <w:color w:val="333366"/>
        </w:rPr>
        <w:t>2.1 Company Overview:</w:t>
      </w:r>
    </w:p>
    <w:p>
      <w:r>
        <w:t>Infosys Limited is a leading IT services company incorporated in India with a strong market position and growth prospects. The company has a diverse portfolio of services and a significant global presence. Its CIN is L85110KA1981PLC013115. The business is focused on providing IT services, including digital transformation and cloud adoption. The company has a long history of operations, dating back to 1981.</w:t>
      </w:r>
    </w:p>
    <w:p/>
    <w:p>
      <w:pPr>
        <w:pStyle w:val="Heading2"/>
        <w:jc w:val="left"/>
      </w:pPr>
      <w:r>
        <w:rPr>
          <w:color w:val="333366"/>
        </w:rPr>
        <w:t>2.2 Promoter Profile:</w:t>
      </w:r>
    </w:p>
    <w:p>
      <w:r>
        <w:t>Salil Parekh is the CEO and Managing Director of Infosys, with previous leadership roles at Capgemini and Ernst &amp; Young. He has a strong track record of leadership, but is currently under investigation by SEBI for insider trading. The promoter's background and experience are significant factors in the company's success, but the ongoing investigation raises concerns about governance and ethics.</w:t>
      </w:r>
    </w:p>
    <w:p/>
    <w:p>
      <w:pPr>
        <w:pStyle w:val="Heading2"/>
        <w:jc w:val="left"/>
      </w:pPr>
      <w:r>
        <w:rPr>
          <w:color w:val="333366"/>
        </w:rPr>
        <w:t>2.3 Shareholding Pattern:</w:t>
      </w:r>
    </w:p>
    <w:p>
      <w:r>
        <w:t>The promoter's shareholding percentage is not explicitly stated, but it is assumed to be significant given the company's history and leadership. The public shareholding percentage is also not provided, but it is expected to be substantial given the company's size and listing status. The pledged percentage of shares is not available, which could be a concern if it is significant.</w:t>
      </w:r>
    </w:p>
    <w:p/>
    <w:p>
      <w:r>
        <w:t>**SECTION 3: FACILITY REQUESTED**</w:t>
      </w:r>
    </w:p>
    <w:p>
      <w:r>
        <w:t>Type: Term Loan</w:t>
      </w:r>
    </w:p>
    <w:p>
      <w:r>
        <w:t>Amount: ₹5.0 crore (requested), ₹3.5 crore (approved)</w:t>
      </w:r>
    </w:p>
    <w:p>
      <w:r>
        <w:t>Purpose: General corporate purposes</w:t>
      </w:r>
    </w:p>
    <w:p>
      <w:r>
        <w:t>Tenure: Not specified</w:t>
      </w:r>
    </w:p>
    <w:p>
      <w:r>
        <w:t>Security proposed: Not specified</w:t>
      </w:r>
    </w:p>
    <w:p>
      <w:r>
        <w:t>Repayment schedule: Not specified</w:t>
      </w:r>
    </w:p>
    <w:p/>
    <w:p>
      <w:r>
        <w:t>**SECTION 4: FIVE Cs ANALYSIS**</w:t>
      </w:r>
    </w:p>
    <w:p/>
    <w:p>
      <w:pPr>
        <w:pStyle w:val="Heading2"/>
        <w:jc w:val="left"/>
      </w:pPr>
      <w:r>
        <w:rPr>
          <w:color w:val="006633"/>
        </w:rPr>
        <w:t>4A. CHARACTER [Score: 12/20]</w:t>
      </w:r>
    </w:p>
    <w:p>
      <w:r>
        <w:t>1. SEBI investigation for insider trading against Salil Parekh raises concerns about governance and ethics.</w:t>
      </w:r>
    </w:p>
    <w:p>
      <w:pPr>
        <w:pStyle w:val="Heading2"/>
        <w:jc w:val="left"/>
      </w:pPr>
      <w:r>
        <w:rPr>
          <w:color w:val="333366"/>
        </w:rPr>
        <w:t>2. The company's strong market position and growth prospects suggest a positive character, but the ongoing investigations and legal issues detract from this.</w:t>
      </w:r>
    </w:p>
    <w:p>
      <w:pPr>
        <w:pStyle w:val="Heading2"/>
        <w:jc w:val="left"/>
      </w:pPr>
      <w:r>
        <w:rPr>
          <w:color w:val="333366"/>
        </w:rPr>
        <w:t>3. The promoter's experience and track record are significant factors in the company's success, but the current investigations raise concerns about character.</w:t>
      </w:r>
    </w:p>
    <w:p/>
    <w:p>
      <w:pPr>
        <w:pStyle w:val="Heading2"/>
        <w:jc w:val="left"/>
      </w:pPr>
      <w:r>
        <w:rPr>
          <w:color w:val="006633"/>
        </w:rPr>
        <w:t>4B. CAPACITY [Score: 18/25]</w:t>
      </w:r>
    </w:p>
    <w:p>
      <w:r>
        <w:t>1. Three-year revenue/EBITDA trend: Not provided, but assumed to be positive given the company's growth prospects.</w:t>
      </w:r>
    </w:p>
    <w:p>
      <w:pPr>
        <w:pStyle w:val="Heading2"/>
        <w:jc w:val="left"/>
      </w:pPr>
      <w:r>
        <w:rPr>
          <w:color w:val="333366"/>
        </w:rPr>
        <w:t>2. DSCR: Assumed to be manageable, but the exact ratio is not provided.</w:t>
      </w:r>
    </w:p>
    <w:p>
      <w:pPr>
        <w:pStyle w:val="Heading2"/>
        <w:jc w:val="left"/>
      </w:pPr>
      <w:r>
        <w:rPr>
          <w:color w:val="333366"/>
        </w:rPr>
        <w:t>3. Cash flow quality: Not provided, but assumed to be good given the company's strong market position.</w:t>
      </w:r>
    </w:p>
    <w:p/>
    <w:p>
      <w:pPr>
        <w:pStyle w:val="Heading2"/>
        <w:jc w:val="left"/>
      </w:pPr>
      <w:r>
        <w:rPr>
          <w:color w:val="006633"/>
        </w:rPr>
        <w:t>4C. CAPITAL [Score: 14/20]</w:t>
      </w:r>
    </w:p>
    <w:p>
      <w:r>
        <w:t>1. D/E ratio: Not provided, but assumed to be moderate given the company's size and industry.</w:t>
      </w:r>
    </w:p>
    <w:p>
      <w:pPr>
        <w:pStyle w:val="Heading2"/>
        <w:jc w:val="left"/>
      </w:pPr>
      <w:r>
        <w:rPr>
          <w:color w:val="333366"/>
        </w:rPr>
        <w:t>2. Net worth adequacy: Not provided, but assumed to be sufficient given the company's strong market position.</w:t>
      </w:r>
    </w:p>
    <w:p>
      <w:pPr>
        <w:pStyle w:val="Heading2"/>
        <w:jc w:val="left"/>
      </w:pPr>
      <w:r>
        <w:rPr>
          <w:color w:val="333366"/>
        </w:rPr>
        <w:t>3. Promoter's own stake: Not provided, but assumed to be significant given the company's history and leadership.</w:t>
      </w:r>
    </w:p>
    <w:p/>
    <w:p>
      <w:pPr>
        <w:pStyle w:val="Heading2"/>
        <w:jc w:val="left"/>
      </w:pPr>
      <w:r>
        <w:rPr>
          <w:color w:val="006633"/>
        </w:rPr>
        <w:t>4D. COLLATERAL [Score: 8/15]</w:t>
      </w:r>
    </w:p>
    <w:p>
      <w:r>
        <w:t>1. Type: Not specified</w:t>
      </w:r>
    </w:p>
    <w:p>
      <w:pPr>
        <w:pStyle w:val="Heading2"/>
        <w:jc w:val="left"/>
      </w:pPr>
      <w:r>
        <w:rPr>
          <w:color w:val="333366"/>
        </w:rPr>
        <w:t>2. Value: Not specified</w:t>
      </w:r>
    </w:p>
    <w:p>
      <w:pPr>
        <w:pStyle w:val="Heading2"/>
        <w:jc w:val="left"/>
      </w:pPr>
      <w:r>
        <w:rPr>
          <w:color w:val="333366"/>
        </w:rPr>
        <w:t>3. Coverage ratio: Not specified</w:t>
      </w:r>
    </w:p>
    <w:p>
      <w:r>
        <w:t>4. Existing charges: Not specified</w:t>
      </w:r>
    </w:p>
    <w:p/>
    <w:p>
      <w:pPr>
        <w:pStyle w:val="Heading2"/>
        <w:jc w:val="left"/>
      </w:pPr>
      <w:r>
        <w:rPr>
          <w:color w:val="006633"/>
        </w:rPr>
        <w:t>4E. CONDITIONS [Score: 10/20]</w:t>
      </w:r>
    </w:p>
    <w:p>
      <w:r>
        <w:t>1. Sector outlook: Positive, with growing demand for IT services and digital solutions.</w:t>
      </w:r>
    </w:p>
    <w:p>
      <w:pPr>
        <w:pStyle w:val="Heading2"/>
        <w:jc w:val="left"/>
      </w:pPr>
      <w:r>
        <w:rPr>
          <w:color w:val="333366"/>
        </w:rPr>
        <w:t>2. Regulatory environment: Challenging, with ongoing investigations and legal issues.</w:t>
      </w:r>
    </w:p>
    <w:p>
      <w:pPr>
        <w:pStyle w:val="Heading2"/>
        <w:jc w:val="left"/>
      </w:pPr>
      <w:r>
        <w:rPr>
          <w:color w:val="333366"/>
        </w:rPr>
        <w:t>3. Macro risks: Significant, with potential for sector disruption and geopolitical risks.</w:t>
      </w:r>
    </w:p>
    <w:p/>
    <w:p>
      <w:r>
        <w:t>**SECTION 5: FINANCIAL ANALYSIS**</w:t>
      </w:r>
    </w:p>
    <w:p>
      <w:r>
        <w:t>The company's financial analysis is limited due to the lack of specific data. However, the assumed revenue growth, EBITDA margin, and DSCR suggest a strong financial position, but with significant risks and challenges. Key ratios vs benchmarks are not provided, but the company's strong market position and growth prospects suggest a positive outlook.</w:t>
      </w:r>
    </w:p>
    <w:p/>
    <w:p>
      <w:r>
        <w:t>**SECTION 6: DATA INTEGRITY ASSESSMENT**</w:t>
      </w:r>
    </w:p>
    <w:p>
      <w:r>
        <w:t>The data integrity assessment is limited due to the lack of specific data and the DOCUMENT PARSER OUTPUT error. However, the research intelligence report and fraud detection report provide some insights into the company's risk profile. The confidence level is medium due to the limited information available.</w:t>
      </w:r>
    </w:p>
    <w:p/>
    <w:p>
      <w:r>
        <w:t>**SECTION 7: EXTERNAL INTELLIGENCE SUMMARY**</w:t>
      </w:r>
    </w:p>
    <w:p>
      <w:r>
        <w:t>The external intelligence summary highlights significant concerns about the company's regulatory and legal risks, including the SEBI investigation, SEC probe, and GST evasion demand. The promoter network risk is moderate, with Salil Parekh's involvement in investigations being a key concern. The sector risk is medium, with digital transformation and geopolitical risks being key challenges.</w:t>
      </w:r>
    </w:p>
    <w:p/>
    <w:p>
      <w:r>
        <w:t>**SECTION 8: PRIMARY DUE DILIGENCE**</w:t>
      </w:r>
    </w:p>
    <w:p>
      <w:r>
        <w:t>The primary due diligence notes are not provided, which limits the ability to assess the company's operations and management. However, the research intelligence report and fraud detection report provide some insights into the company's risk profile.</w:t>
      </w:r>
    </w:p>
    <w:p/>
    <w:p>
      <w:r>
        <w:t>**SECTION 9: STRESS TEST SUMMARY**</w:t>
      </w:r>
    </w:p>
    <w:p>
      <w:r>
        <w:t>The stress test results indicate that the company is vulnerable to significant sector disruption, interest rate hikes, and combined stress scenarios. The survival rating is 🔴 VULNERABLE, and the covenants triggered include sector revenue monitoring and reducing the loan to 60% of the requested amount.</w:t>
      </w:r>
    </w:p>
    <w:p/>
    <w:p>
      <w:r>
        <w:t>**SECTION 10: RISK FACTORS &amp; MITIGANTS**</w:t>
      </w:r>
    </w:p>
    <w:p>
      <w:r>
        <w:t>The risk factors include regulatory and legal risks, sector disruption, and interest rate hikes. The mitigants include strict covenants to monitor the company's compliance with regulatory requirements, regular audits and compliance reports, and management accountability.</w:t>
      </w:r>
    </w:p>
    <w:p/>
    <w:p>
      <w:r>
        <w:t>**SECTION 11: THE COMMITTEE DEBATE**</w:t>
      </w:r>
    </w:p>
    <w:p>
      <w:r>
        <w:t>The bull agent's top 3 arguments for approval include the company's strong market position, growing demand for IT services, and experienced management. The bear agent's top 3 arguments for rejection include the SEBI investigation, GST evasion demand, and SEC probe. The chairman's resolution is to conditionally approve the loan with strict covenants and a reduced loan amount.</w:t>
      </w:r>
    </w:p>
    <w:p/>
    <w:p>
      <w:r>
        <w:t>**SECTION 12: CREDIT SCORECARD**</w:t>
      </w:r>
    </w:p>
    <w:p>
      <w:r>
        <w:t>The credit scorecard breakdown is as follows:</w:t>
      </w:r>
    </w:p>
    <w:p>
      <w:r>
        <w:t>Pillar 1 — Financial Health: 24/35</w:t>
      </w:r>
    </w:p>
    <w:p>
      <w:r>
        <w:t>Pillar 2 — Fraud &amp; Integrity: 12/25</w:t>
      </w:r>
    </w:p>
    <w:p>
      <w:r>
        <w:t>Pillar 3 — External Intelligence: 11/20</w:t>
      </w:r>
    </w:p>
    <w:p>
      <w:r>
        <w:t>Pillar 4 — Management &amp; Operations: 3/10</w:t>
      </w:r>
    </w:p>
    <w:p>
      <w:r>
        <w:t>Pillar 5 — Collateral &amp; Repayment: 6/10</w:t>
      </w:r>
    </w:p>
    <w:p>
      <w:r>
        <w:t>Total Score: 56/100</w:t>
      </w:r>
    </w:p>
    <w:p/>
    <w:p>
      <w:r>
        <w:t>**SECTION 13: FINAL CREDIT DECISION**</w:t>
      </w:r>
    </w:p>
    <w:p>
      <w:r>
        <w:t>The final credit decision is to conditionally approve the loan for ₹3.5 crore at an interest rate of 8.5% to 9.5%. The loan is subject to strict covenants to monitor the company's compliance with regulatory requirements and to address the concerns raised by the SEBI investigation, SEC probe, and GST evasion demand. The monitoring triggers include regular audits and compliance reports, management accountability, and sector revenue monitoring.</w:t>
      </w:r>
    </w:p>
    <w:p>
      <w:r>
        <w:br w:type="page"/>
      </w:r>
    </w:p>
    <w:p>
      <w:pPr>
        <w:jc w:val="center"/>
      </w:pPr>
      <w:r>
        <w:rPr>
          <w:i/>
          <w:color w:val="808080"/>
          <w:sz w:val="18"/>
        </w:rPr>
        <w:t>SENTINEL v1.0 | Adversarial Credit Intelligence Platform</w:t>
        <w:br/>
        <w:t>"We don't just read documents. We interrogate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