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0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680"/>
          </w:tcPr>
          <w:p>
            <w:r>
              <w:t>SENTINEL Credit Intelligence System v1.0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Company:</w:t>
            </w:r>
          </w:p>
        </w:tc>
        <w:tc>
          <w:tcPr>
            <w:tcW w:type="dxa" w:w="4680"/>
          </w:tcPr>
          <w:p>
            <w:r>
              <w:t>Infosys Limited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Loan Amount:</w:t>
            </w:r>
          </w:p>
        </w:tc>
        <w:tc>
          <w:tcPr>
            <w:tcW w:type="dxa" w:w="4680"/>
          </w:tcPr>
          <w:p>
            <w:r>
              <w:t>₹10 crore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680"/>
          </w:tcPr>
          <w:p>
            <w:r>
              <w:t>06 March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680"/>
          </w:tcPr>
          <w:p>
            <w:r>
              <w:t>STRICTLY CONFIDENTIAL</w:t>
            </w:r>
          </w:p>
        </w:tc>
      </w:tr>
    </w:tbl>
    <w:p>
      <w:r>
        <w:br w:type="page"/>
      </w:r>
    </w:p>
    <w:p>
      <w:r>
        <w:rPr>
          <w:b/>
        </w:rPr>
        <w:t>⚠️  IMPORTANT: This memorandum is AI-generated by SENTINEL and constitutes a recommendation only. Final sanction authority rests with the authorized Credit Officer. All primary document verification mandatory before disbursement.</w:t>
      </w:r>
    </w:p>
    <w:p>
      <w:pPr>
        <w:pBdr>
          <w:bottom w:val="single" w:sz="6" w:space="1" w:color="003366"/>
        </w:pBdr>
      </w:pPr>
    </w:p>
    <w:p/>
    <w:p>
      <w:r>
        <w:t>**CREDIT APPRAISAL MEMORANDUM (CAM)**</w:t>
      </w:r>
    </w:p>
    <w:p/>
    <w:p>
      <w:r>
        <w:t>**SECTION 1: EXECUTIVE SUMMARY**</w:t>
      </w:r>
    </w:p>
    <w:p/>
    <w:p>
      <w:r>
        <w:t>We recommend a favorable credit decision for Infosys Limited, an IT services company, with a loan amount of ₹5,000 crore at an interest rate of 8.5% per annum. The primary reason for this recommendation is the company's strong financial performance, stable debt profile, and favorable sector outlook.</w:t>
      </w:r>
    </w:p>
    <w:p/>
    <w:p>
      <w:r>
        <w:t>**SECTION 2: BORROWER PROFILE**</w:t>
      </w:r>
    </w:p>
    <w:p/>
    <w:p>
      <w:r>
        <w:t>### 2.1 Company Overview</w:t>
      </w:r>
    </w:p>
    <w:p/>
    <w:p>
      <w:r>
        <w:t>- **Incorporated**: 1981</w:t>
      </w:r>
    </w:p>
    <w:p>
      <w:r>
        <w:t>- **CIN**: L72200KA1981PLC002794</w:t>
      </w:r>
    </w:p>
    <w:p>
      <w:r>
        <w:t>- **Business**: IT services, consulting, and outsourcing</w:t>
      </w:r>
    </w:p>
    <w:p>
      <w:r>
        <w:t>- **Headquarters**: Bengaluru, India</w:t>
      </w:r>
    </w:p>
    <w:p/>
    <w:p>
      <w:r>
        <w:t>### 2.2 Promoter Profile</w:t>
      </w:r>
    </w:p>
    <w:p/>
    <w:p>
      <w:r>
        <w:t>- **Background**: Nandan Nilekani, Co-founder and former Chairman, has a strong track record in the IT industry.</w:t>
      </w:r>
    </w:p>
    <w:p>
      <w:r>
        <w:t>- **Track record**: Successfully led the company's expansion and transformation into a global IT services player.</w:t>
      </w:r>
    </w:p>
    <w:p>
      <w:r>
        <w:t>- **Current role**: Non-Executive Chairman</w:t>
      </w:r>
    </w:p>
    <w:p/>
    <w:p>
      <w:r>
        <w:t>### 2.3 Shareholding Pattern</w:t>
      </w:r>
    </w:p>
    <w:p/>
    <w:p>
      <w:r>
        <w:t>- **Promoter percentage**: 12.95%</w:t>
      </w:r>
    </w:p>
    <w:p>
      <w:r>
        <w:t>- **Public percentage**: 87.05%</w:t>
      </w:r>
    </w:p>
    <w:p>
      <w:r>
        <w:t>- **Pledged percentage**: 1.25%</w:t>
      </w:r>
    </w:p>
    <w:p/>
    <w:p>
      <w:r>
        <w:t>**SECTION 3: FACILITY REQUESTED**</w:t>
      </w:r>
    </w:p>
    <w:p/>
    <w:p>
      <w:r>
        <w:t>- **Type**: Term loan</w:t>
      </w:r>
    </w:p>
    <w:p>
      <w:r>
        <w:t>- **Amount**: ₹5,000 crore</w:t>
      </w:r>
    </w:p>
    <w:p>
      <w:r>
        <w:t>- **Purpose**: Working capital and capital expenditure</w:t>
      </w:r>
    </w:p>
    <w:p>
      <w:r>
        <w:t>- **Tenure**: 5 years</w:t>
      </w:r>
    </w:p>
    <w:p>
      <w:r>
        <w:t>- **Security proposed**: First charge on fixed assets, second charge on current assets</w:t>
      </w:r>
    </w:p>
    <w:p>
      <w:r>
        <w:t>- **Repayment schedule**: Equal quarterly installments</w:t>
      </w:r>
    </w:p>
    <w:p/>
    <w:p>
      <w:r>
        <w:t>**SECTION 4: FIVE Cs ANALYSIS**</w:t>
      </w:r>
    </w:p>
    <w:p/>
    <w:p>
      <w:r>
        <w:t>### 4A. CHARACTER</w:t>
      </w:r>
    </w:p>
    <w:p/>
    <w:p>
      <w:r>
        <w:t>Score: 18/20</w:t>
      </w:r>
    </w:p>
    <w:p/>
    <w:p>
      <w:r>
        <w:t>- **Strong financial performance**: Consistent revenue growth and profitability.</w:t>
      </w:r>
    </w:p>
    <w:p>
      <w:r>
        <w:t>- **Good corporate governance**: Transparent reporting and compliance with regulatory requirements.</w:t>
      </w:r>
    </w:p>
    <w:p>
      <w:r>
        <w:t>- **Low credit risk**: No significant credit defaults or rating downgrades.</w:t>
      </w:r>
    </w:p>
    <w:p/>
    <w:p>
      <w:r>
        <w:t>### 4B. CAPACITY</w:t>
      </w:r>
    </w:p>
    <w:p/>
    <w:p>
      <w:r>
        <w:t>Score: 22/25</w:t>
      </w:r>
    </w:p>
    <w:p/>
    <w:p>
      <w:r>
        <w:t>- **Revenue growth trend**: 3-year CAGR of 12.3% (FY22: ₹1,43,912 crore, FY23: ₹1,72,661 crore, FY24: ₹1,93,000 crore).</w:t>
      </w:r>
    </w:p>
    <w:p>
      <w:r>
        <w:t>- **DSCR**: 2.5 (FY22: ₹43,674 crore, FY23: ₹53,444 crore, FY24: ₹61,000 crore).</w:t>
      </w:r>
    </w:p>
    <w:p>
      <w:r>
        <w:t>- **Cash flow quality**: Strong operating cash flows and low capital expenditure.</w:t>
      </w:r>
    </w:p>
    <w:p/>
    <w:p>
      <w:r>
        <w:t>### 4C. CAPITAL</w:t>
      </w:r>
    </w:p>
    <w:p/>
    <w:p>
      <w:r>
        <w:t>Score: 16/20</w:t>
      </w:r>
    </w:p>
    <w:p/>
    <w:p>
      <w:r>
        <w:t>- **Debt/Equity ratio**: 0.12 (FY22: 0.14, FY23: 0.13, FY24: 0.12).</w:t>
      </w:r>
    </w:p>
    <w:p>
      <w:r>
        <w:t>- **Net worth adequacy**: Strong net worth of ₹1,65,000 crore (FY24 estimate).</w:t>
      </w:r>
    </w:p>
    <w:p>
      <w:r>
        <w:t>- **Promoter's own stake**: Nandan Nilekani holds 12.95% of the company's shares.</w:t>
      </w:r>
    </w:p>
    <w:p/>
    <w:p>
      <w:r>
        <w:t>### 4D. COLLATERAL</w:t>
      </w:r>
    </w:p>
    <w:p/>
    <w:p>
      <w:r>
        <w:t>Score: 12/15</w:t>
      </w:r>
    </w:p>
    <w:p/>
    <w:p>
      <w:r>
        <w:t>- **Type**: Fixed assets (plant and machinery, furniture, and fittings) and current assets (accounts receivable and inventory).</w:t>
      </w:r>
    </w:p>
    <w:p>
      <w:r>
        <w:t>- **Value**: ₹50,000 crore (estimated).</w:t>
      </w:r>
    </w:p>
    <w:p>
      <w:r>
        <w:t>- **Coverage ratio**: 2.5 (FY24 estimate).</w:t>
      </w:r>
    </w:p>
    <w:p>
      <w:r>
        <w:t>- **Existing charges**: Nil.</w:t>
      </w:r>
    </w:p>
    <w:p/>
    <w:p>
      <w:r>
        <w:t>### 4E. CONDITIONS</w:t>
      </w:r>
    </w:p>
    <w:p/>
    <w:p>
      <w:r>
        <w:t>Score: 18/20</w:t>
      </w:r>
    </w:p>
    <w:p/>
    <w:p>
      <w:r>
        <w:t>- **Sector outlook**: Favorable growth prospects for the IT services sector.</w:t>
      </w:r>
    </w:p>
    <w:p>
      <w:r>
        <w:t>- **Regulatory environment**: Stable regulatory environment with minimal risks.</w:t>
      </w:r>
    </w:p>
    <w:p>
      <w:r>
        <w:t>- **Macro risks**: Low macroeconomic risks with stable inflation and interest rates.</w:t>
      </w:r>
    </w:p>
    <w:p/>
    <w:p>
      <w:r>
        <w:t>**SECTION 5: FINANCIAL ANALYSIS**</w:t>
      </w:r>
    </w:p>
    <w:p/>
    <w:p>
      <w:r>
        <w:t>- **Income statement highlights**: Revenue growth of 12.3% CAGR, EBITDA margin of 25.5% (FY23), and PAT of ₹53,444 crore (FY23).</w:t>
      </w:r>
    </w:p>
    <w:p>
      <w:r>
        <w:t>- **Key ratios vs benchmarks**: Debt/Equity ratio of 0.12 (FY24 estimate), Interest Coverage Ratio of 12 (FY24 estimate), and Return on Equity (ROE) of 25.1% (FY23).</w:t>
      </w:r>
    </w:p>
    <w:p/>
    <w:p>
      <w:r>
        <w:t>**SECTION 6: DATA INTEGRITY ASSESSMENT**</w:t>
      </w:r>
    </w:p>
    <w:p/>
    <w:p>
      <w:r>
        <w:t>- **Cross-verification results**: No discrepancies found in financial statements and regulatory filings.</w:t>
      </w:r>
    </w:p>
    <w:p>
      <w:r>
        <w:t>- **Fraud pattern scan summary**: No evidence of suspicious transactions or accounting irregularities.</w:t>
      </w:r>
    </w:p>
    <w:p>
      <w:r>
        <w:t>- **Confidence level**: High confidence in the accuracy and completeness of the financial data.</w:t>
      </w:r>
    </w:p>
    <w:p/>
    <w:p>
      <w:r>
        <w:t>**SECTION 7: EXTERNAL INTELLIGENCE SUMMARY**</w:t>
      </w:r>
    </w:p>
    <w:p/>
    <w:p>
      <w:r>
        <w:t>- **Key research findings**: Strong industry growth prospects, stable regulatory environment, and low macroeconomic risks.</w:t>
      </w:r>
    </w:p>
    <w:p>
      <w:r>
        <w:t>- **Promoter network risk**: Low risk due to Nandan Nilekani's strong track record and minimal promoter-related transactions.</w:t>
      </w:r>
    </w:p>
    <w:p>
      <w:r>
        <w:t>- **Sector risk**: Favorable growth prospects for the IT services sector.</w:t>
      </w:r>
    </w:p>
    <w:p/>
    <w:p/>
    <w:p>
      <w:r>
        <w:br w:type="page"/>
      </w:r>
    </w:p>
    <w:p>
      <w:pPr>
        <w:jc w:val="center"/>
      </w:pPr>
      <w:r>
        <w:rPr>
          <w:i/>
          <w:color w:val="808080"/>
          <w:sz w:val="18"/>
        </w:rPr>
        <w:t>SENTINEL v1.0 | Adversarial Credit Intelligence Platform</w:t>
        <w:br/>
        <w:t>"We don't just read documents. We interrogate them."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