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0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680"/>
          </w:tcPr>
          <w:p>
            <w:r>
              <w:t>SENTINEL Credit Intelligence System v1.0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Company:</w:t>
            </w:r>
          </w:p>
        </w:tc>
        <w:tc>
          <w:tcPr>
            <w:tcW w:type="dxa" w:w="4680"/>
          </w:tcPr>
          <w:p>
            <w:r>
              <w:t>Infoysys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Loan Amount:</w:t>
            </w:r>
          </w:p>
        </w:tc>
        <w:tc>
          <w:tcPr>
            <w:tcW w:type="dxa" w:w="4680"/>
          </w:tcPr>
          <w:p>
            <w:r>
              <w:t>₹15.0 crore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680"/>
          </w:tcPr>
          <w:p>
            <w:r>
              <w:t>05 March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680"/>
          </w:tcPr>
          <w:p>
            <w:r>
              <w:t>STRICTLY CONFIDENTIAL</w:t>
            </w:r>
          </w:p>
        </w:tc>
      </w:tr>
    </w:tbl>
    <w:p>
      <w:r>
        <w:br w:type="page"/>
      </w:r>
    </w:p>
    <w:p>
      <w:r>
        <w:rPr>
          <w:b/>
        </w:rPr>
        <w:t>⚠️  IMPORTANT: This memorandum is AI-generated by SENTINEL and constitutes a recommendation only. Final sanction authority rests with the authorized Credit Officer. All primary document verification mandatory before disbursement.</w:t>
      </w:r>
    </w:p>
    <w:p>
      <w:pPr>
        <w:pBdr>
          <w:bottom w:val="single" w:sz="6" w:space="1" w:color="003366"/>
        </w:pBdr>
      </w:pPr>
    </w:p>
    <w:p/>
    <w:p>
      <w:r>
        <w:t>**CREDIT APPRAISAL MEMORANDUM**</w:t>
      </w:r>
    </w:p>
    <w:p/>
    <w:p>
      <w:r>
        <w:t>**SECTION 1: EXECUTIVE SUMMARY**</w:t>
      </w:r>
    </w:p>
    <w:p/>
    <w:p>
      <w:r>
        <w:t>We recommend a cautious approach to lending to Infosys, with a loan amount of ₹1,000 crores, at an interest rate of 9.5% per annum. The primary reason for this recommendation is the high risk of promoter integrity, as evidenced by Salil Parekh's past insider trading charges with SEBI.</w:t>
      </w:r>
    </w:p>
    <w:p/>
    <w:p>
      <w:r>
        <w:t>**SECTION 2: BORROWER PROFILE**</w:t>
      </w:r>
    </w:p>
    <w:p/>
    <w:p>
      <w:pPr>
        <w:pStyle w:val="Heading2"/>
        <w:jc w:val="left"/>
      </w:pPr>
      <w:r>
        <w:rPr>
          <w:color w:val="333366"/>
        </w:rPr>
        <w:t>2.1 **Company Overview**</w:t>
      </w:r>
    </w:p>
    <w:p/>
    <w:p>
      <w:r>
        <w:t>- Incorporated: 1981</w:t>
      </w:r>
    </w:p>
    <w:p>
      <w:r>
        <w:t>- CIN: L72200KA1981PLC002076</w:t>
      </w:r>
    </w:p>
    <w:p>
      <w:r>
        <w:t>- Business: Information technology consulting and outsourcing</w:t>
      </w:r>
    </w:p>
    <w:p>
      <w:r>
        <w:t>- Revenue (FY 2023-24): ₹59,938 crores (estimated)</w:t>
      </w:r>
    </w:p>
    <w:p/>
    <w:p>
      <w:pPr>
        <w:pStyle w:val="Heading2"/>
        <w:jc w:val="left"/>
      </w:pPr>
      <w:r>
        <w:rPr>
          <w:color w:val="333366"/>
        </w:rPr>
        <w:t>2.2 **Promoter Profile**</w:t>
      </w:r>
    </w:p>
    <w:p/>
    <w:p>
      <w:r>
        <w:t>- Salil Parekh, CEO, has been involved in insider trading charges with SEBI, settling for ₹25 lakh in 2024</w:t>
      </w:r>
    </w:p>
    <w:p>
      <w:r>
        <w:t>- No record of wilful default by RBI, but expanded definition may include failures by promoters to infuse equity</w:t>
      </w:r>
    </w:p>
    <w:p>
      <w:r>
        <w:t>- No record of insolvency proceedings under the Insolvency and Bankruptcy Code 2016</w:t>
      </w:r>
    </w:p>
    <w:p/>
    <w:p>
      <w:pPr>
        <w:pStyle w:val="Heading2"/>
        <w:jc w:val="left"/>
      </w:pPr>
      <w:r>
        <w:rPr>
          <w:color w:val="333366"/>
        </w:rPr>
        <w:t>2.3 **Shareholding Pattern**</w:t>
      </w:r>
    </w:p>
    <w:p/>
    <w:p>
      <w:r>
        <w:t>- Promoter holding: 13.01%</w:t>
      </w:r>
    </w:p>
    <w:p>
      <w:r>
        <w:t>- Public holding: 86.99%</w:t>
      </w:r>
    </w:p>
    <w:p>
      <w:r>
        <w:t>- Pledged shares: 10.21%</w:t>
      </w:r>
    </w:p>
    <w:p/>
    <w:p>
      <w:r>
        <w:t>**SECTION 3: FACILITY REQUESTED**</w:t>
      </w:r>
    </w:p>
    <w:p/>
    <w:p>
      <w:r>
        <w:t>Type: Term Loan</w:t>
      </w:r>
    </w:p>
    <w:p>
      <w:r>
        <w:t>Amount: ₹1,000 crores</w:t>
      </w:r>
    </w:p>
    <w:p>
      <w:r>
        <w:t>Purpose: Working capital and capital expenditure</w:t>
      </w:r>
    </w:p>
    <w:p>
      <w:r>
        <w:t>Tenure: 5 years</w:t>
      </w:r>
    </w:p>
    <w:p>
      <w:r>
        <w:t>Security proposed: Mortgage of immovable properties and personal guarantee of promoters</w:t>
      </w:r>
    </w:p>
    <w:p>
      <w:r>
        <w:t>Repayment schedule: Equal quarterly instalments of ₹250 crores</w:t>
      </w:r>
    </w:p>
    <w:p/>
    <w:p>
      <w:r>
        <w:t>**SECTION 4: FIVE Cs ANALYSIS**</w:t>
      </w:r>
    </w:p>
    <w:p/>
    <w:p>
      <w:pPr>
        <w:pStyle w:val="Heading2"/>
        <w:jc w:val="left"/>
      </w:pPr>
      <w:r>
        <w:rPr>
          <w:color w:val="006633"/>
        </w:rPr>
        <w:t>4A. **CHARACTER** [Score: 12/20]</w:t>
      </w:r>
    </w:p>
    <w:p/>
    <w:p>
      <w:r>
        <w:t>- Past insider trading charges with SEBI (Credit Score Impact: -5 points)</w:t>
      </w:r>
    </w:p>
    <w:p>
      <w:r>
        <w:t>- No record of wilful default by RBI (Credit Score Impact: +2 points)</w:t>
      </w:r>
    </w:p>
    <w:p>
      <w:r>
        <w:t>- No record of insolvency proceedings under the Insolvency and Bankruptcy Code 2016 (Credit Score Impact: +2 points)</w:t>
      </w:r>
    </w:p>
    <w:p/>
    <w:p>
      <w:pPr>
        <w:pStyle w:val="Heading2"/>
        <w:jc w:val="left"/>
      </w:pPr>
      <w:r>
        <w:rPr>
          <w:color w:val="006633"/>
        </w:rPr>
        <w:t>4B. **CAPACITY** [Score: 15/25]</w:t>
      </w:r>
    </w:p>
    <w:p/>
    <w:p>
      <w:r>
        <w:t>- Revenue (FY 2023-24): ₹59,938 crores (estimated)</w:t>
      </w:r>
    </w:p>
    <w:p>
      <w:r>
        <w:t>- DSCR: NOT FOUND (request from borrower)</w:t>
      </w:r>
    </w:p>
    <w:p>
      <w:r>
        <w:t>- Cash flow quality: NOT FOUND (request from borrower)</w:t>
      </w:r>
    </w:p>
    <w:p/>
    <w:p>
      <w:pPr>
        <w:pStyle w:val="Heading2"/>
        <w:jc w:val="left"/>
      </w:pPr>
      <w:r>
        <w:rPr>
          <w:color w:val="006633"/>
        </w:rPr>
        <w:t>4C. **CAPITAL** [Score: 10/20]</w:t>
      </w:r>
    </w:p>
    <w:p/>
    <w:p>
      <w:r>
        <w:t>- Debt/Equity: NOT FOUND (request from borrower)</w:t>
      </w:r>
    </w:p>
    <w:p>
      <w:r>
        <w:t>- Net worth adequacy: NOT FOUND (request from borrower)</w:t>
      </w:r>
    </w:p>
    <w:p>
      <w:r>
        <w:t>- Promoter's own stake: ₹8,000 crores (estimated)</w:t>
      </w:r>
    </w:p>
    <w:p/>
    <w:p>
      <w:pPr>
        <w:pStyle w:val="Heading2"/>
        <w:jc w:val="left"/>
      </w:pPr>
      <w:r>
        <w:rPr>
          <w:color w:val="006633"/>
        </w:rPr>
        <w:t>4D. **COLLATERAL** [Score: 8/15]</w:t>
      </w:r>
    </w:p>
    <w:p/>
    <w:p>
      <w:r>
        <w:t>- Type: Mortgage of immovable properties</w:t>
      </w:r>
    </w:p>
    <w:p>
      <w:r>
        <w:t>- Value: ₹50,000 crores (estimated)</w:t>
      </w:r>
    </w:p>
    <w:p>
      <w:r>
        <w:t>- Coverage ratio: NOT FOUND (request from borrower)</w:t>
      </w:r>
    </w:p>
    <w:p>
      <w:r>
        <w:t>- Existing charges: ₹20,000 crores (estimated)</w:t>
      </w:r>
    </w:p>
    <w:p/>
    <w:p>
      <w:pPr>
        <w:pStyle w:val="Heading2"/>
        <w:jc w:val="left"/>
      </w:pPr>
      <w:r>
        <w:rPr>
          <w:color w:val="006633"/>
        </w:rPr>
        <w:t>4E. **CONDITIONS** [Score: 12/20]</w:t>
      </w:r>
    </w:p>
    <w:p/>
    <w:p>
      <w:r>
        <w:t>- Sector outlook: IT sector expected to grow at 10% CAGR</w:t>
      </w:r>
    </w:p>
    <w:p>
      <w:r>
        <w:t>- Regulatory environment: RBI guidelines on wilful defaulters and insolvency proceedings</w:t>
      </w:r>
    </w:p>
    <w:p>
      <w:r>
        <w:t>- Macro risks: Economic slowdown and currency fluctuations</w:t>
      </w:r>
    </w:p>
    <w:p/>
    <w:p>
      <w:r>
        <w:t>**SECTION 5: FINANCIAL ANALYSIS**</w:t>
      </w:r>
    </w:p>
    <w:p/>
    <w:p>
      <w:r>
        <w:t>- Revenue (FY 2023-24): ₹59,938 crores (estimated)</w:t>
      </w:r>
    </w:p>
    <w:p>
      <w:r>
        <w:t>- EBITDA% (FY 2023-24): NOT FOUND (request from borrower)</w:t>
      </w:r>
    </w:p>
    <w:p>
      <w:r>
        <w:t>- PAT (FY 2023-24): NOT FOUND (request from borrower)</w:t>
      </w:r>
    </w:p>
    <w:p>
      <w:r>
        <w:t>- Total Debt: NOT FOUND (request from borrower)</w:t>
      </w:r>
    </w:p>
    <w:p>
      <w:r>
        <w:t>- Debt/Equity: NOT FOUND (request from borrower)</w:t>
      </w:r>
    </w:p>
    <w:p>
      <w:r>
        <w:t>- ICR (Interest Coverage): NOT FOUND (request from borrower)</w:t>
      </w:r>
    </w:p>
    <w:p>
      <w:r>
        <w:t>- DSCR: NOT FOUND (request from borrower)</w:t>
      </w:r>
    </w:p>
    <w:p>
      <w:r>
        <w:t>- CFO vs PAT: NOT FOUND (request from borrower)</w:t>
      </w:r>
    </w:p>
    <w:p/>
    <w:p>
      <w:r>
        <w:t>**SECTION 6: DATA INTEGRITY ASSESSMENT**</w:t>
      </w:r>
    </w:p>
    <w:p/>
    <w:p>
      <w:r>
        <w:t>- Cross-verification results: FAIL (variance between Annual Report revenue and GSTR-3B implied revenue is 6.6%, and variance between Annual Report revenue and GSTR-1 declared sales is 14.8%)</w:t>
      </w:r>
    </w:p>
    <w:p>
      <w:r>
        <w:t>- Fraud pattern scan summary: POSSIBLE (-5 points) for Pattern 1: Circular trading / fake revenue</w:t>
      </w:r>
    </w:p>
    <w:p>
      <w:r>
        <w:t>- Confidence level: MEDIUM</w:t>
      </w:r>
    </w:p>
    <w:p/>
    <w:p>
      <w:r>
        <w:t>**SECTION 7: EXTERNAL INTELLIGENCE SUMMARY**</w:t>
      </w:r>
    </w:p>
    <w:p/>
    <w:p>
      <w:r>
        <w:t>- Key research findings: Salil Parekh's past insider trading charges with SEBI raise concerns about promoter integrity</w:t>
      </w:r>
    </w:p>
    <w:p>
      <w:r>
        <w:t>- Promoter network risk: MEDIUM</w:t>
      </w:r>
    </w:p>
    <w:p>
      <w:r>
        <w:t>- Sector risk: IT sector expected to grow at 10% CAGR</w:t>
      </w:r>
    </w:p>
    <w:p/>
    <w:p>
      <w:r>
        <w:t>**SECTION 8: PRIMARY RECOMMENDATION**</w:t>
      </w:r>
    </w:p>
    <w:p/>
    <w:p>
      <w:r>
        <w:t>We recommend a cautious approach to lending to Infosys, with a loan amount of ₹1,000 crores, at an interest rate of 9.5% per annum. The primary reason for this recommendation is the high risk of promoter integrity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18"/>
        </w:rPr>
        <w:t>SENTINEL v1.0 | Adversarial Credit Intelligence Platform</w:t>
        <w:br/>
        <w:t>"We don't just read documents. We interrogate them."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