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78D4"/>
        </w:rPr>
        <w:t>Q4 Outlook Migration — Status Memo</w:t>
      </w:r>
    </w:p>
    <w:p>
      <w:r>
        <w:t>Owner: Frank Miller   ·   Status: In progress   ·   Target: Dec 15</w:t>
      </w:r>
    </w:p>
    <w:p>
      <w:r>
        <w:t>This memo captures the rollout state for the Outlook clone migration ahead of the December freeze. Send replies on this thread to confirm or push back on the milestones below.</w:t>
      </w:r>
    </w:p>
    <w:p>
      <w:pPr>
        <w:pStyle w:val="Heading2"/>
      </w:pPr>
      <w:r>
        <w:t>Highlights this week</w:t>
      </w:r>
    </w:p>
    <w:p>
      <w:pPr>
        <w:pStyle w:val="ListBullet"/>
      </w:pPr>
      <w:r>
        <w:rPr>
          <w:sz w:val="22"/>
        </w:rPr>
        <w:t>Recurring events ship-ready — series delete + scope edit verified.</w:t>
      </w:r>
    </w:p>
    <w:p>
      <w:pPr>
        <w:pStyle w:val="ListBullet"/>
      </w:pPr>
      <w:r>
        <w:rPr>
          <w:sz w:val="22"/>
        </w:rPr>
        <w:t>Search universal dropdown live in production; Files tab now opens previews.</w:t>
      </w:r>
    </w:p>
    <w:p>
      <w:pPr>
        <w:pStyle w:val="ListBullet"/>
      </w:pPr>
      <w:r>
        <w:rPr>
          <w:sz w:val="22"/>
        </w:rPr>
        <w:t>Boomerang follow-up wired end-to-end; reply suppression confirmed.</w:t>
      </w:r>
    </w:p>
    <w:p>
      <w:pPr>
        <w:pStyle w:val="Heading2"/>
      </w:pPr>
      <w:r>
        <w:t>Open risks</w:t>
      </w:r>
    </w:p>
    <w:p>
      <w:pPr>
        <w:pStyle w:val="ListNumber"/>
      </w:pPr>
      <w:r>
        <w:rPr>
          <w:sz w:val="22"/>
        </w:rPr>
        <w:t>Cross-region timezone handling for invitees.</w:t>
      </w:r>
    </w:p>
    <w:p>
      <w:pPr>
        <w:pStyle w:val="ListNumber"/>
      </w:pPr>
      <w:r>
        <w:rPr>
          <w:sz w:val="22"/>
        </w:rPr>
        <w:t>TipTap version drift between starter-kit and font-size extension.</w:t>
      </w:r>
    </w:p>
    <w:p>
      <w:pPr>
        <w:pStyle w:val="ListNumber"/>
      </w:pPr>
      <w:r>
        <w:rPr>
          <w:sz w:val="22"/>
        </w:rPr>
        <w:t>DLP false-positive rate on long internal threads.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