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8C705" w14:textId="77777777" w:rsidR="00E33D70" w:rsidRPr="00E33D70" w:rsidRDefault="00E33D70" w:rsidP="00E33D70">
      <w:pPr>
        <w:shd w:val="clear" w:color="auto" w:fill="FFFFFF"/>
        <w:spacing w:after="300" w:line="240" w:lineRule="auto"/>
        <w:outlineLvl w:val="0"/>
        <w:rPr>
          <w:rFonts w:ascii="Arial" w:eastAsia="Times New Roman" w:hAnsi="Arial" w:cs="Arial"/>
          <w:b/>
          <w:bCs/>
          <w:color w:val="333333"/>
          <w:kern w:val="36"/>
          <w:sz w:val="36"/>
          <w:szCs w:val="36"/>
          <w:lang w:eastAsia="en-IN"/>
        </w:rPr>
      </w:pPr>
      <w:r w:rsidRPr="00E33D70">
        <w:rPr>
          <w:rFonts w:ascii="Arial" w:eastAsia="Times New Roman" w:hAnsi="Arial" w:cs="Arial"/>
          <w:b/>
          <w:bCs/>
          <w:color w:val="333333"/>
          <w:kern w:val="36"/>
          <w:sz w:val="36"/>
          <w:szCs w:val="36"/>
          <w:lang w:eastAsia="en-IN"/>
        </w:rPr>
        <w:t>Formula Nodes</w:t>
      </w:r>
    </w:p>
    <w:p w14:paraId="10AAA8D1" w14:textId="77777777" w:rsidR="00E33D70" w:rsidRDefault="00E33D70" w:rsidP="00E33D70">
      <w:pPr>
        <w:pStyle w:val="body"/>
        <w:spacing w:before="120" w:beforeAutospacing="0" w:after="120" w:afterAutospacing="0"/>
      </w:pPr>
      <w:r>
        <w:t>The </w:t>
      </w:r>
      <w:hyperlink r:id="rId5" w:history="1">
        <w:r>
          <w:rPr>
            <w:rStyle w:val="Hyperlink"/>
            <w:color w:val="004123"/>
          </w:rPr>
          <w:t>Formula Node</w:t>
        </w:r>
      </w:hyperlink>
      <w:r>
        <w:t> is a convenient text-based node you can use to perform mathematical operations on the block diagram. You do not have to access any external code or applications, and you do not have to wire low-level arithmetic functions to create equations. In addition to text-based equation expressions, the Formula Node can accept text-based versions of if statements, while loops, for loops, and do loops, which are familiar to C programmers. These programming elements are similar to what you find in C programming but are not identical.</w:t>
      </w:r>
    </w:p>
    <w:tbl>
      <w:tblPr>
        <w:tblW w:w="0" w:type="auto"/>
        <w:tblCellMar>
          <w:top w:w="15" w:type="dxa"/>
          <w:left w:w="15" w:type="dxa"/>
          <w:bottom w:w="15" w:type="dxa"/>
          <w:right w:w="15" w:type="dxa"/>
        </w:tblCellMar>
        <w:tblLook w:val="04A0" w:firstRow="1" w:lastRow="0" w:firstColumn="1" w:lastColumn="0" w:noHBand="0" w:noVBand="1"/>
      </w:tblPr>
      <w:tblGrid>
        <w:gridCol w:w="600"/>
        <w:gridCol w:w="8426"/>
      </w:tblGrid>
      <w:tr w:rsidR="00E33D70" w14:paraId="0A1BFD55" w14:textId="77777777" w:rsidTr="00E33D70">
        <w:tc>
          <w:tcPr>
            <w:tcW w:w="600" w:type="dxa"/>
            <w:shd w:val="clear" w:color="auto" w:fill="auto"/>
            <w:tcMar>
              <w:top w:w="45" w:type="dxa"/>
              <w:left w:w="45" w:type="dxa"/>
              <w:bottom w:w="45" w:type="dxa"/>
              <w:right w:w="45" w:type="dxa"/>
            </w:tcMar>
            <w:hideMark/>
          </w:tcPr>
          <w:p w14:paraId="7E1B084E" w14:textId="29EF27E7" w:rsidR="00E33D70" w:rsidRDefault="00E33D70">
            <w:pPr>
              <w:spacing w:after="300"/>
            </w:pPr>
            <w:r>
              <w:rPr>
                <w:noProof/>
              </w:rPr>
              <w:drawing>
                <wp:inline distT="0" distB="0" distL="0" distR="0" wp14:anchorId="0863365F" wp14:editId="4D5DFE3C">
                  <wp:extent cx="243840" cy="266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66700"/>
                          </a:xfrm>
                          <a:prstGeom prst="rect">
                            <a:avLst/>
                          </a:prstGeom>
                          <a:noFill/>
                          <a:ln>
                            <a:noFill/>
                          </a:ln>
                        </pic:spPr>
                      </pic:pic>
                    </a:graphicData>
                  </a:graphic>
                </wp:inline>
              </w:drawing>
            </w:r>
          </w:p>
        </w:tc>
        <w:tc>
          <w:tcPr>
            <w:tcW w:w="0" w:type="auto"/>
            <w:shd w:val="clear" w:color="auto" w:fill="auto"/>
            <w:tcMar>
              <w:top w:w="45" w:type="dxa"/>
              <w:left w:w="45" w:type="dxa"/>
              <w:bottom w:w="45" w:type="dxa"/>
              <w:right w:w="45" w:type="dxa"/>
            </w:tcMar>
            <w:hideMark/>
          </w:tcPr>
          <w:p w14:paraId="6E1A82E2" w14:textId="77777777" w:rsidR="00E33D70" w:rsidRDefault="00E33D70">
            <w:pPr>
              <w:spacing w:after="300"/>
            </w:pPr>
            <w:proofErr w:type="gramStart"/>
            <w:r>
              <w:rPr>
                <w:rStyle w:val="Strong"/>
              </w:rPr>
              <w:t>Note</w:t>
            </w:r>
            <w:r>
              <w:t>  You</w:t>
            </w:r>
            <w:proofErr w:type="gramEnd"/>
            <w:r>
              <w:t xml:space="preserve"> can use Formula Node most effectively if you are familiar with the C programming language. </w:t>
            </w:r>
            <w:r>
              <w:rPr>
                <w:rStyle w:val="Emphasis"/>
              </w:rPr>
              <w:t>LabVIEW Help</w:t>
            </w:r>
            <w:r>
              <w:t> assumes you are familiar with C and does not contain any topics related to programming in C. Refer to </w:t>
            </w:r>
            <w:r>
              <w:rPr>
                <w:rStyle w:val="Emphasis"/>
              </w:rPr>
              <w:t>The C Programming Language</w:t>
            </w:r>
            <w:r>
              <w:t> by Brian W. Kernighan and Dennis M. Ritchie or </w:t>
            </w:r>
            <w:r>
              <w:rPr>
                <w:rStyle w:val="Emphasis"/>
              </w:rPr>
              <w:t>Teach Yourself C</w:t>
            </w:r>
            <w:r>
              <w:t xml:space="preserve"> by Herbert </w:t>
            </w:r>
            <w:proofErr w:type="spellStart"/>
            <w:r>
              <w:t>Schildt</w:t>
            </w:r>
            <w:proofErr w:type="spellEnd"/>
            <w:r>
              <w:t xml:space="preserve"> for more information.</w:t>
            </w:r>
          </w:p>
        </w:tc>
      </w:tr>
    </w:tbl>
    <w:p w14:paraId="6ED268A3" w14:textId="77777777" w:rsidR="00E33D70" w:rsidRDefault="00E33D70" w:rsidP="00E33D70">
      <w:pPr>
        <w:pStyle w:val="body"/>
        <w:spacing w:before="120" w:beforeAutospacing="0" w:after="120" w:afterAutospacing="0"/>
      </w:pPr>
      <w:r>
        <w:t>Formula Nodes are useful for equations that have many variables or are otherwise complicated and for using existing text-based code. You can copy and paste the existing text-based code into a Formula Node rather than recreating it graphically.</w:t>
      </w:r>
    </w:p>
    <w:p w14:paraId="19052F5A" w14:textId="77777777" w:rsidR="00E33D70" w:rsidRDefault="00E33D70" w:rsidP="00E33D70">
      <w:pPr>
        <w:pStyle w:val="body"/>
        <w:spacing w:before="120" w:beforeAutospacing="0" w:after="120" w:afterAutospacing="0"/>
      </w:pPr>
      <w:r>
        <w:t>Formula Nodes use type checking to make sure that array indexes are numeric data and that operands to the bit operations are integer data. Formula Nodes also check to make sure array indexes are in range. For arrays, an out-of-range value defaults to zero, and an out-of-range assignment defaults to </w:t>
      </w:r>
      <w:proofErr w:type="spellStart"/>
      <w:r>
        <w:rPr>
          <w:rStyle w:val="monospace"/>
          <w:rFonts w:ascii="Courier New" w:hAnsi="Courier New" w:cs="Courier New"/>
        </w:rPr>
        <w:t>nop</w:t>
      </w:r>
      <w:proofErr w:type="spellEnd"/>
      <w:r>
        <w:t> to indicate no operation occurs.</w:t>
      </w:r>
    </w:p>
    <w:p w14:paraId="76F6462A" w14:textId="77777777" w:rsidR="00E33D70" w:rsidRDefault="00E33D70" w:rsidP="00E33D70">
      <w:pPr>
        <w:pStyle w:val="body"/>
        <w:spacing w:before="120" w:beforeAutospacing="0" w:after="120" w:afterAutospacing="0"/>
      </w:pPr>
      <w:r>
        <w:t>Formula Nodes also perform automatic type conversion.</w:t>
      </w:r>
    </w:p>
    <w:p w14:paraId="60EEBB7B" w14:textId="77777777" w:rsidR="00E33D70" w:rsidRDefault="00E33D70" w:rsidP="00E33D70">
      <w:pPr>
        <w:pStyle w:val="Heading2"/>
        <w:spacing w:before="180" w:after="60"/>
        <w:rPr>
          <w:rFonts w:ascii="Arial" w:hAnsi="Arial" w:cs="Arial"/>
          <w:color w:val="333333"/>
          <w:sz w:val="30"/>
          <w:szCs w:val="30"/>
        </w:rPr>
      </w:pPr>
      <w:bookmarkStart w:id="0" w:name="Using_the_Formula_Node"/>
      <w:bookmarkEnd w:id="0"/>
      <w:r>
        <w:rPr>
          <w:rFonts w:ascii="Arial" w:hAnsi="Arial" w:cs="Arial"/>
          <w:color w:val="333333"/>
          <w:sz w:val="30"/>
          <w:szCs w:val="30"/>
        </w:rPr>
        <w:t>Using the Formula Node</w:t>
      </w:r>
    </w:p>
    <w:p w14:paraId="419B5233" w14:textId="77777777" w:rsidR="00E33D70" w:rsidRDefault="00E33D70" w:rsidP="00E33D70">
      <w:pPr>
        <w:pStyle w:val="body"/>
        <w:spacing w:before="120" w:beforeAutospacing="0" w:after="120" w:afterAutospacing="0"/>
      </w:pPr>
      <w:r>
        <w:t xml:space="preserve">The Formula Node, shown as follows, is a resizable box similar to the For Loop, While Loop, Case structure, Stacked Sequence structure, and Flat Sequence structure. However, instead of containing a </w:t>
      </w:r>
      <w:proofErr w:type="spellStart"/>
      <w:r>
        <w:t>subdiagram</w:t>
      </w:r>
      <w:proofErr w:type="spellEnd"/>
      <w:r>
        <w:t>, the Formula Node contains one or more C-like statements delimited by semicolons, as in the following example. As with C, add comments by enclosing them inside a slash/asterisk pair (</w:t>
      </w:r>
      <w:r>
        <w:rPr>
          <w:rStyle w:val="monospace"/>
          <w:rFonts w:ascii="Courier New" w:hAnsi="Courier New" w:cs="Courier New"/>
        </w:rPr>
        <w:t>/*comment*/</w:t>
      </w:r>
      <w:r>
        <w:t>) or by preceding them with two slashes (</w:t>
      </w:r>
      <w:r>
        <w:rPr>
          <w:rStyle w:val="monospace"/>
          <w:rFonts w:ascii="Courier New" w:hAnsi="Courier New" w:cs="Courier New"/>
        </w:rPr>
        <w:t>//comment</w:t>
      </w:r>
      <w:r>
        <w:t>).</w:t>
      </w:r>
    </w:p>
    <w:p w14:paraId="7EAD334F" w14:textId="7A4F266A" w:rsidR="00E33D70" w:rsidRDefault="00E33D70" w:rsidP="00E33D70">
      <w:pPr>
        <w:pStyle w:val="anchor"/>
        <w:spacing w:before="120" w:beforeAutospacing="0" w:after="120" w:afterAutospacing="0"/>
      </w:pPr>
      <w:r>
        <w:rPr>
          <w:noProof/>
        </w:rPr>
        <w:drawing>
          <wp:inline distT="0" distB="0" distL="0" distR="0" wp14:anchorId="6129879E" wp14:editId="4CD74A6D">
            <wp:extent cx="301752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615440"/>
                    </a:xfrm>
                    <a:prstGeom prst="rect">
                      <a:avLst/>
                    </a:prstGeom>
                    <a:noFill/>
                    <a:ln>
                      <a:noFill/>
                    </a:ln>
                  </pic:spPr>
                </pic:pic>
              </a:graphicData>
            </a:graphic>
          </wp:inline>
        </w:drawing>
      </w:r>
    </w:p>
    <w:p w14:paraId="55965429" w14:textId="77777777" w:rsidR="00E33D70" w:rsidRDefault="00E33D70" w:rsidP="00E33D70">
      <w:pPr>
        <w:pStyle w:val="Heading2"/>
        <w:spacing w:before="180" w:after="60"/>
        <w:rPr>
          <w:rFonts w:ascii="Arial" w:hAnsi="Arial" w:cs="Arial"/>
          <w:color w:val="333333"/>
          <w:sz w:val="30"/>
          <w:szCs w:val="30"/>
        </w:rPr>
      </w:pPr>
      <w:bookmarkStart w:id="1" w:name="Variables_in_the_Formula_Node"/>
      <w:bookmarkEnd w:id="1"/>
      <w:r>
        <w:rPr>
          <w:rFonts w:ascii="Arial" w:hAnsi="Arial" w:cs="Arial"/>
          <w:color w:val="333333"/>
          <w:sz w:val="30"/>
          <w:szCs w:val="30"/>
        </w:rPr>
        <w:t>Variables in the Formula Node</w:t>
      </w:r>
    </w:p>
    <w:p w14:paraId="0327897B" w14:textId="77777777" w:rsidR="00E33D70" w:rsidRDefault="00E33D70" w:rsidP="00E33D70">
      <w:pPr>
        <w:pStyle w:val="body"/>
        <w:spacing w:before="120" w:beforeAutospacing="0" w:after="120" w:afterAutospacing="0"/>
      </w:pPr>
      <w:r>
        <w:t>When you work with variables, remember the following points:</w:t>
      </w:r>
    </w:p>
    <w:p w14:paraId="1ED1EC55"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t>There is no limit to the number of variables or equations in a Formula Node.</w:t>
      </w:r>
    </w:p>
    <w:p w14:paraId="766438A4"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t>No two inputs and no two outputs can have the same name, but an output can have the same name as an input.</w:t>
      </w:r>
    </w:p>
    <w:p w14:paraId="7DDDF285"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lastRenderedPageBreak/>
        <w:t>Declare an input variable by right-clicking the Formula Node border and selecting </w:t>
      </w:r>
      <w:r>
        <w:rPr>
          <w:rStyle w:val="Strong"/>
          <w:rFonts w:ascii="Helvetica" w:hAnsi="Helvetica" w:cs="Helvetica"/>
        </w:rPr>
        <w:t>Add Input</w:t>
      </w:r>
      <w:r>
        <w:rPr>
          <w:rFonts w:ascii="Helvetica" w:hAnsi="Helvetica" w:cs="Helvetica"/>
        </w:rPr>
        <w:t> from the shortcut menu. You cannot declare input variables inside the Formula Node.</w:t>
      </w:r>
    </w:p>
    <w:p w14:paraId="46ADDDC3"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t>Declare an output variable by right-clicking the Formula Node border and selecting </w:t>
      </w:r>
      <w:r>
        <w:rPr>
          <w:rStyle w:val="Strong"/>
          <w:rFonts w:ascii="Helvetica" w:hAnsi="Helvetica" w:cs="Helvetica"/>
        </w:rPr>
        <w:t>Add Output</w:t>
      </w:r>
      <w:r>
        <w:rPr>
          <w:rFonts w:ascii="Helvetica" w:hAnsi="Helvetica" w:cs="Helvetica"/>
        </w:rPr>
        <w:t> from the shortcut menu. The output variable name must match either an input variable name or the name of a variable you declare inside the Formula Node.</w:t>
      </w:r>
    </w:p>
    <w:p w14:paraId="17216F03"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t>You can change whether a variable is an input or an output by right-clicking it and selecting </w:t>
      </w:r>
      <w:r>
        <w:rPr>
          <w:rStyle w:val="Strong"/>
          <w:rFonts w:ascii="Helvetica" w:hAnsi="Helvetica" w:cs="Helvetica"/>
        </w:rPr>
        <w:t>Change to Input</w:t>
      </w:r>
      <w:r>
        <w:rPr>
          <w:rFonts w:ascii="Helvetica" w:hAnsi="Helvetica" w:cs="Helvetica"/>
        </w:rPr>
        <w:t> or </w:t>
      </w:r>
      <w:r>
        <w:rPr>
          <w:rStyle w:val="Strong"/>
          <w:rFonts w:ascii="Helvetica" w:hAnsi="Helvetica" w:cs="Helvetica"/>
        </w:rPr>
        <w:t>Change to Output</w:t>
      </w:r>
      <w:r>
        <w:rPr>
          <w:rFonts w:ascii="Helvetica" w:hAnsi="Helvetica" w:cs="Helvetica"/>
        </w:rPr>
        <w:t> from the shortcut menu.</w:t>
      </w:r>
    </w:p>
    <w:p w14:paraId="78AC9283"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t>You can declare and use a variable inside the Formula Node without relating it to an input or output wire.</w:t>
      </w:r>
    </w:p>
    <w:p w14:paraId="0F7DB649"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t>You must wire all input terminals.</w:t>
      </w:r>
    </w:p>
    <w:p w14:paraId="64C6CA63" w14:textId="77777777" w:rsidR="00E33D70" w:rsidRDefault="00E33D70" w:rsidP="00E33D70">
      <w:pPr>
        <w:numPr>
          <w:ilvl w:val="0"/>
          <w:numId w:val="1"/>
        </w:numPr>
        <w:spacing w:before="60" w:after="60" w:line="240" w:lineRule="auto"/>
        <w:ind w:left="440"/>
        <w:rPr>
          <w:rFonts w:ascii="Helvetica" w:hAnsi="Helvetica" w:cs="Helvetica"/>
        </w:rPr>
      </w:pPr>
      <w:r>
        <w:rPr>
          <w:rFonts w:ascii="Helvetica" w:hAnsi="Helvetica" w:cs="Helvetica"/>
        </w:rPr>
        <w:t xml:space="preserve">Variables can be floating-point numeric </w:t>
      </w:r>
      <w:proofErr w:type="gramStart"/>
      <w:r>
        <w:rPr>
          <w:rFonts w:ascii="Helvetica" w:hAnsi="Helvetica" w:cs="Helvetica"/>
        </w:rPr>
        <w:t>scalars,</w:t>
      </w:r>
      <w:proofErr w:type="gramEnd"/>
      <w:r>
        <w:rPr>
          <w:rFonts w:ascii="Helvetica" w:hAnsi="Helvetica" w:cs="Helvetica"/>
        </w:rPr>
        <w:t xml:space="preserve"> whose precision depends on the configuration of your computer. You also can use integers and arrays of numeric values for variables.</w:t>
      </w:r>
    </w:p>
    <w:tbl>
      <w:tblPr>
        <w:tblW w:w="0" w:type="auto"/>
        <w:tblCellMar>
          <w:top w:w="15" w:type="dxa"/>
          <w:left w:w="15" w:type="dxa"/>
          <w:bottom w:w="15" w:type="dxa"/>
          <w:right w:w="15" w:type="dxa"/>
        </w:tblCellMar>
        <w:tblLook w:val="04A0" w:firstRow="1" w:lastRow="0" w:firstColumn="1" w:lastColumn="0" w:noHBand="0" w:noVBand="1"/>
      </w:tblPr>
      <w:tblGrid>
        <w:gridCol w:w="600"/>
        <w:gridCol w:w="8426"/>
      </w:tblGrid>
      <w:tr w:rsidR="00E33D70" w14:paraId="602E544A" w14:textId="77777777" w:rsidTr="00E33D70">
        <w:tc>
          <w:tcPr>
            <w:tcW w:w="600" w:type="dxa"/>
            <w:shd w:val="clear" w:color="auto" w:fill="auto"/>
            <w:tcMar>
              <w:top w:w="45" w:type="dxa"/>
              <w:left w:w="45" w:type="dxa"/>
              <w:bottom w:w="45" w:type="dxa"/>
              <w:right w:w="45" w:type="dxa"/>
            </w:tcMar>
            <w:hideMark/>
          </w:tcPr>
          <w:p w14:paraId="394F16D3" w14:textId="39518BD7" w:rsidR="00E33D70" w:rsidRDefault="00E33D70">
            <w:pPr>
              <w:spacing w:after="300"/>
              <w:rPr>
                <w:rFonts w:ascii="Times New Roman" w:hAnsi="Times New Roman" w:cs="Times New Roman"/>
              </w:rPr>
            </w:pPr>
            <w:r>
              <w:rPr>
                <w:noProof/>
              </w:rPr>
              <w:drawing>
                <wp:inline distT="0" distB="0" distL="0" distR="0" wp14:anchorId="11449F94" wp14:editId="5A924AEF">
                  <wp:extent cx="243840" cy="266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66700"/>
                          </a:xfrm>
                          <a:prstGeom prst="rect">
                            <a:avLst/>
                          </a:prstGeom>
                          <a:noFill/>
                          <a:ln>
                            <a:noFill/>
                          </a:ln>
                        </pic:spPr>
                      </pic:pic>
                    </a:graphicData>
                  </a:graphic>
                </wp:inline>
              </w:drawing>
            </w:r>
          </w:p>
        </w:tc>
        <w:tc>
          <w:tcPr>
            <w:tcW w:w="0" w:type="auto"/>
            <w:shd w:val="clear" w:color="auto" w:fill="auto"/>
            <w:tcMar>
              <w:top w:w="45" w:type="dxa"/>
              <w:left w:w="45" w:type="dxa"/>
              <w:bottom w:w="45" w:type="dxa"/>
              <w:right w:w="45" w:type="dxa"/>
            </w:tcMar>
            <w:hideMark/>
          </w:tcPr>
          <w:p w14:paraId="2A2B74D8" w14:textId="77777777" w:rsidR="00E33D70" w:rsidRDefault="00E33D70">
            <w:pPr>
              <w:spacing w:after="300"/>
            </w:pPr>
            <w:proofErr w:type="gramStart"/>
            <w:r>
              <w:rPr>
                <w:rStyle w:val="Strong"/>
              </w:rPr>
              <w:t>Note</w:t>
            </w:r>
            <w:r>
              <w:t>  The</w:t>
            </w:r>
            <w:proofErr w:type="gramEnd"/>
            <w:r>
              <w:t xml:space="preserve"> Formula Node does not support complex data types or the matrix data type. If you want to use these data types, use a </w:t>
            </w:r>
            <w:hyperlink r:id="rId8" w:history="1">
              <w:r>
                <w:rPr>
                  <w:rStyle w:val="Hyperlink"/>
                  <w:color w:val="004123"/>
                </w:rPr>
                <w:t>script node</w:t>
              </w:r>
            </w:hyperlink>
            <w:r>
              <w:t>.</w:t>
            </w:r>
          </w:p>
        </w:tc>
      </w:tr>
    </w:tbl>
    <w:p w14:paraId="6C648235" w14:textId="77777777" w:rsidR="00E33D70" w:rsidRDefault="00E33D70" w:rsidP="00E33D70">
      <w:pPr>
        <w:numPr>
          <w:ilvl w:val="0"/>
          <w:numId w:val="2"/>
        </w:numPr>
        <w:spacing w:before="60" w:after="60" w:line="240" w:lineRule="auto"/>
        <w:ind w:left="440"/>
        <w:rPr>
          <w:rFonts w:ascii="Helvetica" w:hAnsi="Helvetica" w:cs="Helvetica"/>
        </w:rPr>
      </w:pPr>
      <w:r>
        <w:rPr>
          <w:rFonts w:ascii="Helvetica" w:hAnsi="Helvetica" w:cs="Helvetica"/>
        </w:rPr>
        <w:t>Variables cannot have units.</w:t>
      </w:r>
    </w:p>
    <w:p w14:paraId="7CF662C9" w14:textId="77777777" w:rsidR="0074405E" w:rsidRDefault="0074405E"/>
    <w:sectPr w:rsidR="0074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633D6"/>
    <w:multiLevelType w:val="multilevel"/>
    <w:tmpl w:val="C00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A0E7E"/>
    <w:multiLevelType w:val="multilevel"/>
    <w:tmpl w:val="4A9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70"/>
    <w:rsid w:val="0074405E"/>
    <w:rsid w:val="00E3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F5E9"/>
  <w15:chartTrackingRefBased/>
  <w15:docId w15:val="{B5A3BB32-D2B0-4FEF-98E1-12C4744C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D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3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33D70"/>
    <w:rPr>
      <w:rFonts w:asciiTheme="majorHAnsi" w:eastAsiaTheme="majorEastAsia" w:hAnsiTheme="majorHAnsi" w:cstheme="majorBidi"/>
      <w:color w:val="2F5496" w:themeColor="accent1" w:themeShade="BF"/>
      <w:sz w:val="26"/>
      <w:szCs w:val="26"/>
    </w:rPr>
  </w:style>
  <w:style w:type="paragraph" w:customStyle="1" w:styleId="body">
    <w:name w:val="body"/>
    <w:basedOn w:val="Normal"/>
    <w:rsid w:val="00E33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3D70"/>
    <w:rPr>
      <w:color w:val="0000FF"/>
      <w:u w:val="single"/>
    </w:rPr>
  </w:style>
  <w:style w:type="character" w:styleId="Strong">
    <w:name w:val="Strong"/>
    <w:basedOn w:val="DefaultParagraphFont"/>
    <w:uiPriority w:val="22"/>
    <w:qFormat/>
    <w:rsid w:val="00E33D70"/>
    <w:rPr>
      <w:b/>
      <w:bCs/>
    </w:rPr>
  </w:style>
  <w:style w:type="character" w:styleId="Emphasis">
    <w:name w:val="Emphasis"/>
    <w:basedOn w:val="DefaultParagraphFont"/>
    <w:uiPriority w:val="20"/>
    <w:qFormat/>
    <w:rsid w:val="00E33D70"/>
    <w:rPr>
      <w:i/>
      <w:iCs/>
    </w:rPr>
  </w:style>
  <w:style w:type="character" w:customStyle="1" w:styleId="monospace">
    <w:name w:val="monospace"/>
    <w:basedOn w:val="DefaultParagraphFont"/>
    <w:rsid w:val="00E33D70"/>
  </w:style>
  <w:style w:type="paragraph" w:customStyle="1" w:styleId="anchor">
    <w:name w:val="anchor"/>
    <w:basedOn w:val="Normal"/>
    <w:rsid w:val="00E33D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278363">
      <w:bodyDiv w:val="1"/>
      <w:marLeft w:val="0"/>
      <w:marRight w:val="0"/>
      <w:marTop w:val="0"/>
      <w:marBottom w:val="0"/>
      <w:divBdr>
        <w:top w:val="none" w:sz="0" w:space="0" w:color="auto"/>
        <w:left w:val="none" w:sz="0" w:space="0" w:color="auto"/>
        <w:bottom w:val="none" w:sz="0" w:space="0" w:color="auto"/>
        <w:right w:val="none" w:sz="0" w:space="0" w:color="auto"/>
      </w:divBdr>
    </w:div>
    <w:div w:id="1716809905">
      <w:bodyDiv w:val="1"/>
      <w:marLeft w:val="0"/>
      <w:marRight w:val="0"/>
      <w:marTop w:val="0"/>
      <w:marBottom w:val="0"/>
      <w:divBdr>
        <w:top w:val="none" w:sz="0" w:space="0" w:color="auto"/>
        <w:left w:val="none" w:sz="0" w:space="0" w:color="auto"/>
        <w:bottom w:val="none" w:sz="0" w:space="0" w:color="auto"/>
        <w:right w:val="none" w:sz="0" w:space="0" w:color="auto"/>
      </w:divBdr>
      <w:divsChild>
        <w:div w:id="1196499129">
          <w:marLeft w:val="0"/>
          <w:marRight w:val="0"/>
          <w:marTop w:val="0"/>
          <w:marBottom w:val="0"/>
          <w:divBdr>
            <w:top w:val="none" w:sz="0" w:space="0" w:color="auto"/>
            <w:left w:val="none" w:sz="0" w:space="0" w:color="auto"/>
            <w:bottom w:val="none" w:sz="0" w:space="0" w:color="auto"/>
            <w:right w:val="none" w:sz="0" w:space="0" w:color="auto"/>
          </w:divBdr>
          <w:divsChild>
            <w:div w:id="827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ne.ni.com/reference/en-XX/help/371361R-01/lvconcepts/scriptnodes/"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zone.ni.com/reference/en-XX/help/371361R-01/glang/formula_n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Dubey</dc:creator>
  <cp:keywords/>
  <dc:description/>
  <cp:lastModifiedBy>Vedant Dubey</cp:lastModifiedBy>
  <cp:revision>1</cp:revision>
  <dcterms:created xsi:type="dcterms:W3CDTF">2020-10-03T08:14:00Z</dcterms:created>
  <dcterms:modified xsi:type="dcterms:W3CDTF">2020-10-03T08:15:00Z</dcterms:modified>
</cp:coreProperties>
</file>